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74CF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rPr>
        <w:t>鄂州市船舶</w:t>
      </w:r>
      <w:r>
        <w:rPr>
          <w:rFonts w:hint="eastAsia" w:ascii="方正小标宋简体" w:hAnsi="方正小标宋简体" w:eastAsia="方正小标宋简体" w:cs="方正小标宋简体"/>
          <w:b/>
          <w:bCs/>
          <w:color w:val="auto"/>
          <w:sz w:val="44"/>
          <w:szCs w:val="44"/>
          <w:lang w:val="en-US" w:eastAsia="zh-CN"/>
        </w:rPr>
        <w:t>和港口</w:t>
      </w:r>
      <w:r>
        <w:rPr>
          <w:rFonts w:hint="eastAsia" w:ascii="方正小标宋简体" w:hAnsi="方正小标宋简体" w:eastAsia="方正小标宋简体" w:cs="方正小标宋简体"/>
          <w:b/>
          <w:bCs/>
          <w:color w:val="auto"/>
          <w:sz w:val="44"/>
          <w:szCs w:val="44"/>
        </w:rPr>
        <w:t>污染</w:t>
      </w:r>
      <w:r>
        <w:rPr>
          <w:rFonts w:hint="eastAsia" w:ascii="方正小标宋简体" w:hAnsi="方正小标宋简体" w:eastAsia="方正小标宋简体" w:cs="方正小标宋简体"/>
          <w:b/>
          <w:bCs/>
          <w:color w:val="auto"/>
          <w:sz w:val="44"/>
          <w:szCs w:val="44"/>
          <w:lang w:val="en-US" w:eastAsia="zh-CN"/>
        </w:rPr>
        <w:t xml:space="preserve">物免费接收      </w:t>
      </w:r>
      <w:r>
        <w:rPr>
          <w:rFonts w:hint="eastAsia" w:ascii="方正小标宋简体" w:hAnsi="方正小标宋简体" w:eastAsia="方正小标宋简体" w:cs="方正小标宋简体"/>
          <w:b/>
          <w:bCs/>
          <w:color w:val="auto"/>
          <w:sz w:val="44"/>
          <w:szCs w:val="44"/>
        </w:rPr>
        <w:t>补助</w:t>
      </w:r>
      <w:r>
        <w:rPr>
          <w:rFonts w:hint="eastAsia" w:ascii="方正小标宋简体" w:hAnsi="方正小标宋简体" w:eastAsia="方正小标宋简体" w:cs="方正小标宋简体"/>
          <w:b/>
          <w:bCs/>
          <w:color w:val="auto"/>
          <w:sz w:val="44"/>
          <w:szCs w:val="44"/>
          <w:lang w:eastAsia="zh-CN"/>
        </w:rPr>
        <w:t>资金分配</w:t>
      </w:r>
      <w:r>
        <w:rPr>
          <w:rFonts w:hint="eastAsia" w:ascii="方正小标宋简体" w:hAnsi="方正小标宋简体" w:eastAsia="方正小标宋简体" w:cs="方正小标宋简体"/>
          <w:b/>
          <w:bCs/>
          <w:color w:val="auto"/>
          <w:sz w:val="44"/>
          <w:szCs w:val="44"/>
          <w:lang w:val="en-US" w:eastAsia="zh-CN"/>
        </w:rPr>
        <w:t>方案</w:t>
      </w:r>
    </w:p>
    <w:p w14:paraId="6C44176F">
      <w:pPr>
        <w:rPr>
          <w:rFonts w:hint="eastAsia" w:ascii="宋体" w:hAnsi="宋体" w:eastAsia="宋体" w:cs="宋体"/>
          <w:b/>
          <w:bCs/>
          <w:color w:val="auto"/>
          <w:sz w:val="21"/>
          <w:szCs w:val="21"/>
          <w:lang w:val="en-US" w:eastAsia="zh-CN"/>
        </w:rPr>
      </w:pPr>
    </w:p>
    <w:p w14:paraId="10B1483F">
      <w:pPr>
        <w:keepNext w:val="0"/>
        <w:keepLines w:val="0"/>
        <w:pageBreakBefore w:val="0"/>
        <w:kinsoku/>
        <w:wordWrap/>
        <w:overflowPunct/>
        <w:topLinePunct w:val="0"/>
        <w:autoSpaceDE/>
        <w:autoSpaceDN/>
        <w:bidi w:val="0"/>
        <w:adjustRightInd w:val="0"/>
        <w:snapToGrid w:val="0"/>
        <w:spacing w:line="560" w:lineRule="exact"/>
        <w:ind w:firstLine="704" w:firstLineChars="200"/>
        <w:textAlignment w:val="auto"/>
        <w:rPr>
          <w:rFonts w:hint="default" w:ascii="宋体" w:hAnsi="宋体" w:eastAsia="仿宋" w:cs="宋体"/>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pacing w:val="16"/>
          <w:sz w:val="32"/>
          <w:szCs w:val="32"/>
          <w:lang w:val="en-US" w:eastAsia="zh-CN"/>
          <w14:textFill>
            <w14:solidFill>
              <w14:schemeClr w14:val="tx1"/>
            </w14:solidFill>
          </w14:textFill>
        </w:rPr>
        <w:t>根据</w:t>
      </w:r>
      <w:r>
        <w:rPr>
          <w:rFonts w:hint="eastAsia" w:ascii="仿宋" w:hAnsi="仿宋" w:eastAsia="仿宋" w:cs="仿宋"/>
          <w:b w:val="0"/>
          <w:bCs w:val="0"/>
          <w:color w:val="000000" w:themeColor="text1"/>
          <w:spacing w:val="16"/>
          <w:sz w:val="32"/>
          <w:szCs w:val="32"/>
          <w14:textFill>
            <w14:solidFill>
              <w14:schemeClr w14:val="tx1"/>
            </w14:solidFill>
          </w14:textFill>
        </w:rPr>
        <w:t>《省交通运输厅关于印发湖北省船舶污染防治资金补助实施方案的通知》</w:t>
      </w:r>
      <w:r>
        <w:rPr>
          <w:rFonts w:hint="eastAsia" w:ascii="仿宋" w:hAnsi="仿宋" w:eastAsia="仿宋" w:cs="仿宋"/>
          <w:b w:val="0"/>
          <w:bCs w:val="0"/>
          <w:color w:val="000000" w:themeColor="text1"/>
          <w:spacing w:val="16"/>
          <w:sz w:val="32"/>
          <w:szCs w:val="32"/>
          <w:lang w:eastAsia="zh-CN"/>
          <w14:textFill>
            <w14:solidFill>
              <w14:schemeClr w14:val="tx1"/>
            </w14:solidFill>
          </w14:textFill>
        </w:rPr>
        <w:t>（</w:t>
      </w:r>
      <w:r>
        <w:rPr>
          <w:rFonts w:hint="eastAsia" w:ascii="仿宋" w:hAnsi="仿宋" w:eastAsia="仿宋" w:cs="仿宋"/>
          <w:b w:val="0"/>
          <w:bCs w:val="0"/>
          <w:color w:val="000000" w:themeColor="text1"/>
          <w:spacing w:val="16"/>
          <w:sz w:val="32"/>
          <w:szCs w:val="32"/>
          <w:lang w:val="en-US" w:eastAsia="zh-CN"/>
          <w14:textFill>
            <w14:solidFill>
              <w14:schemeClr w14:val="tx1"/>
            </w14:solidFill>
          </w14:textFill>
        </w:rPr>
        <w:t>鄂交发〔2023〕107号</w:t>
      </w:r>
      <w:r>
        <w:rPr>
          <w:rFonts w:hint="eastAsia" w:ascii="仿宋" w:hAnsi="仿宋" w:eastAsia="仿宋" w:cs="仿宋"/>
          <w:b w:val="0"/>
          <w:bCs w:val="0"/>
          <w:color w:val="000000" w:themeColor="text1"/>
          <w:spacing w:val="16"/>
          <w:sz w:val="32"/>
          <w:szCs w:val="32"/>
          <w:lang w:eastAsia="zh-CN"/>
          <w14:textFill>
            <w14:solidFill>
              <w14:schemeClr w14:val="tx1"/>
            </w14:solidFill>
          </w14:textFill>
        </w:rPr>
        <w:t>）</w:t>
      </w:r>
      <w:r>
        <w:rPr>
          <w:rFonts w:hint="eastAsia" w:ascii="仿宋" w:hAnsi="仿宋" w:eastAsia="仿宋" w:cs="仿宋"/>
          <w:b w:val="0"/>
          <w:bCs w:val="0"/>
          <w:color w:val="000000" w:themeColor="text1"/>
          <w:spacing w:val="16"/>
          <w:sz w:val="32"/>
          <w:szCs w:val="32"/>
          <w:lang w:val="en-US" w:eastAsia="zh-CN"/>
          <w14:textFill>
            <w14:solidFill>
              <w14:schemeClr w14:val="tx1"/>
            </w14:solidFill>
          </w14:textFill>
        </w:rPr>
        <w:t>和《</w:t>
      </w:r>
      <w:r>
        <w:rPr>
          <w:rFonts w:hint="eastAsia" w:ascii="仿宋" w:hAnsi="仿宋" w:eastAsia="仿宋" w:cs="仿宋"/>
          <w:b w:val="0"/>
          <w:bCs w:val="0"/>
          <w:color w:val="000000" w:themeColor="text1"/>
          <w:spacing w:val="16"/>
          <w:sz w:val="32"/>
          <w:szCs w:val="32"/>
          <w14:textFill>
            <w14:solidFill>
              <w14:schemeClr w14:val="tx1"/>
            </w14:solidFill>
          </w14:textFill>
        </w:rPr>
        <w:t>关于</w:t>
      </w:r>
      <w:r>
        <w:rPr>
          <w:rFonts w:hint="eastAsia" w:ascii="仿宋" w:hAnsi="仿宋" w:eastAsia="仿宋" w:cs="仿宋"/>
          <w:b w:val="0"/>
          <w:bCs w:val="0"/>
          <w:color w:val="000000" w:themeColor="text1"/>
          <w:spacing w:val="16"/>
          <w:sz w:val="32"/>
          <w:szCs w:val="32"/>
          <w:lang w:val="en-US" w:eastAsia="zh-CN"/>
          <w14:textFill>
            <w14:solidFill>
              <w14:schemeClr w14:val="tx1"/>
            </w14:solidFill>
          </w14:textFill>
        </w:rPr>
        <w:t>加强鄂州市</w:t>
      </w:r>
      <w:r>
        <w:rPr>
          <w:rFonts w:hint="eastAsia" w:ascii="仿宋" w:hAnsi="仿宋" w:eastAsia="仿宋" w:cs="仿宋"/>
          <w:b w:val="0"/>
          <w:bCs w:val="0"/>
          <w:color w:val="000000" w:themeColor="text1"/>
          <w:spacing w:val="16"/>
          <w:sz w:val="32"/>
          <w:szCs w:val="32"/>
          <w14:textFill>
            <w14:solidFill>
              <w14:schemeClr w14:val="tx1"/>
            </w14:solidFill>
          </w14:textFill>
        </w:rPr>
        <w:t>船舶</w:t>
      </w:r>
      <w:r>
        <w:rPr>
          <w:rFonts w:hint="eastAsia" w:ascii="仿宋" w:hAnsi="仿宋" w:eastAsia="仿宋" w:cs="仿宋"/>
          <w:b w:val="0"/>
          <w:bCs w:val="0"/>
          <w:color w:val="000000" w:themeColor="text1"/>
          <w:spacing w:val="16"/>
          <w:sz w:val="32"/>
          <w:szCs w:val="32"/>
          <w:lang w:val="en-US" w:eastAsia="zh-CN"/>
          <w14:textFill>
            <w14:solidFill>
              <w14:schemeClr w14:val="tx1"/>
            </w14:solidFill>
          </w14:textFill>
        </w:rPr>
        <w:t>和港口</w:t>
      </w:r>
      <w:r>
        <w:rPr>
          <w:rFonts w:hint="eastAsia" w:ascii="仿宋" w:hAnsi="仿宋" w:eastAsia="仿宋" w:cs="仿宋"/>
          <w:b w:val="0"/>
          <w:bCs w:val="0"/>
          <w:color w:val="000000" w:themeColor="text1"/>
          <w:spacing w:val="16"/>
          <w:sz w:val="32"/>
          <w:szCs w:val="32"/>
          <w14:textFill>
            <w14:solidFill>
              <w14:schemeClr w14:val="tx1"/>
            </w14:solidFill>
          </w14:textFill>
        </w:rPr>
        <w:t>污染</w:t>
      </w:r>
      <w:r>
        <w:rPr>
          <w:rFonts w:hint="eastAsia" w:ascii="仿宋" w:hAnsi="仿宋" w:eastAsia="仿宋" w:cs="仿宋"/>
          <w:b w:val="0"/>
          <w:bCs w:val="0"/>
          <w:color w:val="000000" w:themeColor="text1"/>
          <w:spacing w:val="16"/>
          <w:sz w:val="32"/>
          <w:szCs w:val="32"/>
          <w:lang w:val="en-US" w:eastAsia="zh-CN"/>
          <w14:textFill>
            <w14:solidFill>
              <w14:schemeClr w14:val="tx1"/>
            </w14:solidFill>
          </w14:textFill>
        </w:rPr>
        <w:t>物免费接收管理</w:t>
      </w:r>
      <w:r>
        <w:rPr>
          <w:rFonts w:hint="eastAsia" w:ascii="仿宋" w:hAnsi="仿宋" w:eastAsia="仿宋" w:cs="仿宋"/>
          <w:b w:val="0"/>
          <w:bCs w:val="0"/>
          <w:color w:val="000000" w:themeColor="text1"/>
          <w:spacing w:val="16"/>
          <w:sz w:val="32"/>
          <w:szCs w:val="32"/>
          <w14:textFill>
            <w14:solidFill>
              <w14:schemeClr w14:val="tx1"/>
            </w14:solidFill>
          </w14:textFill>
        </w:rPr>
        <w:t>的通知</w:t>
      </w:r>
      <w:r>
        <w:rPr>
          <w:rFonts w:hint="eastAsia" w:ascii="仿宋" w:hAnsi="仿宋" w:eastAsia="仿宋" w:cs="仿宋"/>
          <w:b w:val="0"/>
          <w:bCs w:val="0"/>
          <w:color w:val="000000" w:themeColor="text1"/>
          <w:spacing w:val="16"/>
          <w:sz w:val="32"/>
          <w:szCs w:val="32"/>
          <w:lang w:val="en-US" w:eastAsia="zh-CN"/>
          <w14:textFill>
            <w14:solidFill>
              <w14:schemeClr w14:val="tx1"/>
            </w14:solidFill>
          </w14:textFill>
        </w:rPr>
        <w:t>》的</w:t>
      </w:r>
      <w:r>
        <w:rPr>
          <w:rFonts w:hint="eastAsia" w:ascii="仿宋" w:hAnsi="仿宋" w:eastAsia="仿宋" w:cs="仿宋"/>
          <w:b w:val="0"/>
          <w:bCs w:val="0"/>
          <w:color w:val="000000" w:themeColor="text1"/>
          <w:spacing w:val="16"/>
          <w:sz w:val="32"/>
          <w:szCs w:val="32"/>
          <w14:textFill>
            <w14:solidFill>
              <w14:schemeClr w14:val="tx1"/>
            </w14:solidFill>
          </w14:textFill>
        </w:rPr>
        <w:t>有关要求，进一步加强我市船舶和港口污染防治工作，全面提升污染防治能力，健全完善污染防治长效机制</w:t>
      </w:r>
      <w:r>
        <w:rPr>
          <w:rFonts w:hint="eastAsia" w:ascii="仿宋" w:hAnsi="仿宋" w:eastAsia="仿宋" w:cs="仿宋"/>
          <w:b w:val="0"/>
          <w:bCs w:val="0"/>
          <w:color w:val="000000" w:themeColor="text1"/>
          <w:spacing w:val="16"/>
          <w:sz w:val="32"/>
          <w:szCs w:val="32"/>
          <w:lang w:eastAsia="zh-CN"/>
          <w14:textFill>
            <w14:solidFill>
              <w14:schemeClr w14:val="tx1"/>
            </w14:solidFill>
          </w14:textFill>
        </w:rPr>
        <w:t>，</w:t>
      </w:r>
      <w:r>
        <w:rPr>
          <w:rFonts w:hint="eastAsia" w:ascii="仿宋" w:hAnsi="仿宋" w:eastAsia="仿宋" w:cs="仿宋"/>
          <w:b w:val="0"/>
          <w:bCs w:val="0"/>
          <w:color w:val="000000" w:themeColor="text1"/>
          <w:spacing w:val="16"/>
          <w:sz w:val="32"/>
          <w:szCs w:val="32"/>
          <w:lang w:val="en-US" w:eastAsia="zh-CN"/>
          <w14:textFill>
            <w14:solidFill>
              <w14:schemeClr w14:val="tx1"/>
            </w14:solidFill>
          </w14:textFill>
        </w:rPr>
        <w:t>拟定分配方案如下：</w:t>
      </w:r>
    </w:p>
    <w:p w14:paraId="16265E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一、分配金额</w:t>
      </w:r>
    </w:p>
    <w:p w14:paraId="61E956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560"/>
        <w:jc w:val="left"/>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本次我市20</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25</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年船舶</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和港口</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污染</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物免费接收</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补助</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资金可分配资金</w:t>
      </w:r>
      <w:r>
        <w:rPr>
          <w:rFonts w:hint="eastAsia" w:ascii="仿宋" w:hAnsi="仿宋" w:eastAsia="仿宋" w:cs="仿宋"/>
          <w:color w:val="000000" w:themeColor="text1"/>
          <w:sz w:val="32"/>
          <w:szCs w:val="32"/>
          <w:lang w:val="en-US" w:eastAsia="zh-CN"/>
          <w14:textFill>
            <w14:solidFill>
              <w14:schemeClr w14:val="tx1"/>
            </w14:solidFill>
          </w14:textFill>
        </w:rPr>
        <w:t>200</w:t>
      </w:r>
      <w:r>
        <w:rPr>
          <w:rFonts w:hint="eastAsia" w:ascii="仿宋" w:hAnsi="仿宋" w:eastAsia="仿宋" w:cs="仿宋"/>
          <w:color w:val="000000" w:themeColor="text1"/>
          <w:sz w:val="32"/>
          <w:szCs w:val="32"/>
          <w14:textFill>
            <w14:solidFill>
              <w14:schemeClr w14:val="tx1"/>
            </w14:solidFill>
          </w14:textFill>
        </w:rPr>
        <w:t>万元，其中：</w:t>
      </w:r>
      <w:r>
        <w:rPr>
          <w:rFonts w:hint="eastAsia" w:ascii="仿宋" w:hAnsi="仿宋" w:eastAsia="仿宋" w:cs="仿宋"/>
          <w:b w:val="0"/>
          <w:bCs w:val="0"/>
          <w:color w:val="000000" w:themeColor="text1"/>
          <w:spacing w:val="16"/>
          <w:sz w:val="32"/>
          <w:szCs w:val="32"/>
          <w14:textFill>
            <w14:solidFill>
              <w14:schemeClr w14:val="tx1"/>
            </w14:solidFill>
          </w14:textFill>
        </w:rPr>
        <w:t>省交通运输厅核定的</w:t>
      </w:r>
      <w:r>
        <w:rPr>
          <w:rFonts w:hint="eastAsia" w:ascii="仿宋" w:hAnsi="仿宋" w:eastAsia="仿宋" w:cs="仿宋"/>
          <w:b w:val="0"/>
          <w:bCs w:val="0"/>
          <w:color w:val="000000" w:themeColor="text1"/>
          <w:spacing w:val="16"/>
          <w:sz w:val="32"/>
          <w:szCs w:val="32"/>
          <w:lang w:val="en-US" w:eastAsia="zh-CN"/>
          <w14:textFill>
            <w14:solidFill>
              <w14:schemeClr w14:val="tx1"/>
            </w14:solidFill>
          </w14:textFill>
        </w:rPr>
        <w:t>船舶污染防治</w:t>
      </w:r>
      <w:r>
        <w:rPr>
          <w:rFonts w:hint="eastAsia" w:ascii="仿宋" w:hAnsi="仿宋" w:eastAsia="仿宋" w:cs="仿宋"/>
          <w:b w:val="0"/>
          <w:bCs w:val="0"/>
          <w:color w:val="000000" w:themeColor="text1"/>
          <w:spacing w:val="16"/>
          <w:sz w:val="32"/>
          <w:szCs w:val="32"/>
          <w14:textFill>
            <w14:solidFill>
              <w14:schemeClr w14:val="tx1"/>
            </w14:solidFill>
          </w14:textFill>
        </w:rPr>
        <w:t>补助</w:t>
      </w:r>
      <w:r>
        <w:rPr>
          <w:rFonts w:hint="eastAsia" w:ascii="仿宋" w:hAnsi="仿宋" w:eastAsia="仿宋" w:cs="仿宋"/>
          <w:b w:val="0"/>
          <w:bCs w:val="0"/>
          <w:color w:val="000000" w:themeColor="text1"/>
          <w:spacing w:val="16"/>
          <w:sz w:val="32"/>
          <w:szCs w:val="32"/>
          <w:lang w:val="en-US" w:eastAsia="zh-CN"/>
          <w14:textFill>
            <w14:solidFill>
              <w14:schemeClr w14:val="tx1"/>
            </w14:solidFill>
          </w14:textFill>
        </w:rPr>
        <w:t>资</w:t>
      </w:r>
      <w:r>
        <w:rPr>
          <w:rFonts w:hint="eastAsia" w:ascii="仿宋" w:hAnsi="仿宋" w:eastAsia="仿宋" w:cs="仿宋"/>
          <w:b w:val="0"/>
          <w:bCs w:val="0"/>
          <w:color w:val="000000" w:themeColor="text1"/>
          <w:spacing w:val="16"/>
          <w:sz w:val="32"/>
          <w:szCs w:val="32"/>
          <w14:textFill>
            <w14:solidFill>
              <w14:schemeClr w14:val="tx1"/>
            </w14:solidFill>
          </w14:textFill>
        </w:rPr>
        <w:t>金</w:t>
      </w:r>
      <w:r>
        <w:rPr>
          <w:rFonts w:hint="eastAsia" w:ascii="仿宋" w:hAnsi="仿宋" w:eastAsia="仿宋" w:cs="仿宋"/>
          <w:color w:val="000000" w:themeColor="text1"/>
          <w:sz w:val="32"/>
          <w:szCs w:val="32"/>
          <w:lang w:val="en-US" w:eastAsia="zh-CN"/>
          <w14:textFill>
            <w14:solidFill>
              <w14:schemeClr w14:val="tx1"/>
            </w14:solidFill>
          </w14:textFill>
        </w:rPr>
        <w:t>180万元，</w:t>
      </w:r>
      <w:r>
        <w:rPr>
          <w:rFonts w:hint="eastAsia" w:ascii="仿宋" w:hAnsi="仿宋" w:eastAsia="仿宋" w:cs="仿宋"/>
          <w:b w:val="0"/>
          <w:bCs w:val="0"/>
          <w:color w:val="000000" w:themeColor="text1"/>
          <w:spacing w:val="16"/>
          <w:sz w:val="32"/>
          <w:szCs w:val="32"/>
          <w:lang w:val="en-US" w:eastAsia="zh-CN"/>
          <w14:textFill>
            <w14:solidFill>
              <w14:schemeClr w14:val="tx1"/>
            </w14:solidFill>
          </w14:textFill>
        </w:rPr>
        <w:t>市级财政核定的船舶和港口污染物的接收转运专项补助资金20</w:t>
      </w:r>
      <w:r>
        <w:rPr>
          <w:rFonts w:hint="eastAsia" w:ascii="仿宋" w:hAnsi="仿宋" w:eastAsia="仿宋" w:cs="仿宋"/>
          <w:color w:val="000000" w:themeColor="text1"/>
          <w:sz w:val="32"/>
          <w:szCs w:val="32"/>
          <w:lang w:val="en-US" w:eastAsia="zh-CN"/>
          <w14:textFill>
            <w14:solidFill>
              <w14:schemeClr w14:val="tx1"/>
            </w14:solidFill>
          </w14:textFill>
        </w:rPr>
        <w:t>万元。</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p>
    <w:p w14:paraId="768804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560"/>
        <w:jc w:val="lef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二、补贴标准</w:t>
      </w:r>
    </w:p>
    <w:p w14:paraId="1DAD330D">
      <w:pPr>
        <w:keepNext w:val="0"/>
        <w:keepLines w:val="0"/>
        <w:pageBreakBefore w:val="0"/>
        <w:widowControl/>
        <w:kinsoku w:val="0"/>
        <w:wordWrap/>
        <w:overflowPunct/>
        <w:topLinePunct w:val="0"/>
        <w:autoSpaceDE w:val="0"/>
        <w:autoSpaceDN w:val="0"/>
        <w:bidi w:val="0"/>
        <w:adjustRightInd w:val="0"/>
        <w:snapToGrid w:val="0"/>
        <w:spacing w:line="560" w:lineRule="exact"/>
        <w:ind w:right="23" w:firstLine="704" w:firstLineChars="200"/>
        <w:jc w:val="both"/>
        <w:textAlignment w:val="baseline"/>
        <w:rPr>
          <w:rFonts w:hint="eastAsia" w:ascii="仿宋" w:hAnsi="仿宋" w:eastAsia="仿宋" w:cs="仿宋"/>
          <w:b w:val="0"/>
          <w:bCs w:val="0"/>
          <w:color w:val="000000" w:themeColor="text1"/>
          <w:spacing w:val="16"/>
          <w:sz w:val="32"/>
          <w:szCs w:val="32"/>
          <w14:textFill>
            <w14:solidFill>
              <w14:schemeClr w14:val="tx1"/>
            </w14:solidFill>
          </w14:textFill>
        </w:rPr>
      </w:pPr>
      <w:r>
        <w:rPr>
          <w:rFonts w:hint="eastAsia" w:ascii="仿宋" w:hAnsi="仿宋" w:eastAsia="仿宋" w:cs="仿宋"/>
          <w:b w:val="0"/>
          <w:bCs w:val="0"/>
          <w:color w:val="000000" w:themeColor="text1"/>
          <w:spacing w:val="16"/>
          <w:sz w:val="32"/>
          <w:szCs w:val="32"/>
          <w14:textFill>
            <w14:solidFill>
              <w14:schemeClr w14:val="tx1"/>
            </w14:solidFill>
          </w14:textFill>
        </w:rPr>
        <w:t>1.</w:t>
      </w:r>
      <w:r>
        <w:rPr>
          <w:rFonts w:hint="eastAsia" w:ascii="仿宋" w:hAnsi="仿宋" w:eastAsia="仿宋" w:cs="仿宋"/>
          <w:b w:val="0"/>
          <w:bCs w:val="0"/>
          <w:color w:val="000000" w:themeColor="text1"/>
          <w:spacing w:val="16"/>
          <w:sz w:val="32"/>
          <w:szCs w:val="32"/>
          <w:lang w:val="en-US" w:eastAsia="zh-CN"/>
          <w14:textFill>
            <w14:solidFill>
              <w14:schemeClr w14:val="tx1"/>
            </w14:solidFill>
          </w14:textFill>
        </w:rPr>
        <w:t>150万元（</w:t>
      </w:r>
      <w:r>
        <w:rPr>
          <w:rFonts w:hint="eastAsia" w:ascii="仿宋" w:hAnsi="仿宋" w:eastAsia="仿宋" w:cs="仿宋"/>
          <w:b w:val="0"/>
          <w:bCs w:val="0"/>
          <w:color w:val="000000" w:themeColor="text1"/>
          <w:spacing w:val="16"/>
          <w:sz w:val="32"/>
          <w:szCs w:val="32"/>
          <w14:textFill>
            <w14:solidFill>
              <w14:schemeClr w14:val="tx1"/>
            </w14:solidFill>
          </w14:textFill>
        </w:rPr>
        <w:t>资金总额</w:t>
      </w:r>
      <w:r>
        <w:rPr>
          <w:rFonts w:hint="eastAsia" w:ascii="仿宋" w:hAnsi="仿宋" w:eastAsia="仿宋" w:cs="仿宋"/>
          <w:b w:val="0"/>
          <w:bCs w:val="0"/>
          <w:color w:val="000000" w:themeColor="text1"/>
          <w:spacing w:val="16"/>
          <w:sz w:val="32"/>
          <w:szCs w:val="32"/>
          <w:lang w:val="en-US" w:eastAsia="zh-CN"/>
          <w14:textFill>
            <w14:solidFill>
              <w14:schemeClr w14:val="tx1"/>
            </w14:solidFill>
          </w14:textFill>
        </w:rPr>
        <w:t>的75</w:t>
      </w:r>
      <w:r>
        <w:rPr>
          <w:rFonts w:hint="eastAsia" w:ascii="仿宋" w:hAnsi="仿宋" w:eastAsia="仿宋" w:cs="仿宋"/>
          <w:b w:val="0"/>
          <w:bCs w:val="0"/>
          <w:color w:val="000000" w:themeColor="text1"/>
          <w:spacing w:val="16"/>
          <w:sz w:val="32"/>
          <w:szCs w:val="32"/>
          <w14:textFill>
            <w14:solidFill>
              <w14:schemeClr w14:val="tx1"/>
            </w14:solidFill>
          </w14:textFill>
        </w:rPr>
        <w:t>%</w:t>
      </w:r>
      <w:r>
        <w:rPr>
          <w:rFonts w:hint="eastAsia" w:ascii="仿宋" w:hAnsi="仿宋" w:eastAsia="仿宋" w:cs="仿宋"/>
          <w:b w:val="0"/>
          <w:bCs w:val="0"/>
          <w:color w:val="000000" w:themeColor="text1"/>
          <w:spacing w:val="16"/>
          <w:sz w:val="32"/>
          <w:szCs w:val="32"/>
          <w:lang w:val="en-US" w:eastAsia="zh-CN"/>
          <w14:textFill>
            <w14:solidFill>
              <w14:schemeClr w14:val="tx1"/>
            </w14:solidFill>
          </w14:textFill>
        </w:rPr>
        <w:t>），</w:t>
      </w:r>
      <w:r>
        <w:rPr>
          <w:rFonts w:hint="eastAsia" w:ascii="仿宋" w:hAnsi="仿宋" w:eastAsia="仿宋" w:cs="仿宋"/>
          <w:b w:val="0"/>
          <w:bCs w:val="0"/>
          <w:color w:val="000000" w:themeColor="text1"/>
          <w:spacing w:val="16"/>
          <w:sz w:val="32"/>
          <w:szCs w:val="32"/>
          <w14:textFill>
            <w14:solidFill>
              <w14:schemeClr w14:val="tx1"/>
            </w14:solidFill>
          </w14:textFill>
        </w:rPr>
        <w:t>用于补助</w:t>
      </w:r>
      <w:r>
        <w:rPr>
          <w:rFonts w:hint="eastAsia" w:ascii="仿宋" w:hAnsi="仿宋" w:eastAsia="仿宋" w:cs="仿宋"/>
          <w:b w:val="0"/>
          <w:bCs w:val="0"/>
          <w:color w:val="000000" w:themeColor="text1"/>
          <w:spacing w:val="16"/>
          <w:sz w:val="32"/>
          <w:szCs w:val="32"/>
          <w:lang w:val="en-US" w:eastAsia="zh-CN"/>
          <w14:textFill>
            <w14:solidFill>
              <w14:schemeClr w14:val="tx1"/>
            </w14:solidFill>
          </w14:textFill>
        </w:rPr>
        <w:t>全市港口企业和专业接收企业</w:t>
      </w:r>
      <w:r>
        <w:rPr>
          <w:rFonts w:hint="eastAsia" w:ascii="仿宋" w:hAnsi="仿宋" w:eastAsia="仿宋" w:cs="仿宋"/>
          <w:b w:val="0"/>
          <w:bCs w:val="0"/>
          <w:color w:val="000000" w:themeColor="text1"/>
          <w:spacing w:val="16"/>
          <w:sz w:val="32"/>
          <w:szCs w:val="32"/>
          <w14:textFill>
            <w14:solidFill>
              <w14:schemeClr w14:val="tx1"/>
            </w14:solidFill>
          </w14:textFill>
        </w:rPr>
        <w:t>免费接收船舶污染物的费用</w:t>
      </w:r>
      <w:r>
        <w:rPr>
          <w:rFonts w:hint="eastAsia" w:ascii="仿宋" w:hAnsi="仿宋" w:eastAsia="仿宋" w:cs="仿宋"/>
          <w:b w:val="0"/>
          <w:bCs w:val="0"/>
          <w:color w:val="000000" w:themeColor="text1"/>
          <w:spacing w:val="16"/>
          <w:sz w:val="32"/>
          <w:szCs w:val="32"/>
          <w:lang w:eastAsia="zh-CN"/>
          <w14:textFill>
            <w14:solidFill>
              <w14:schemeClr w14:val="tx1"/>
            </w14:solidFill>
          </w14:textFill>
        </w:rPr>
        <w:t>，</w:t>
      </w:r>
      <w:r>
        <w:rPr>
          <w:rFonts w:hint="eastAsia" w:ascii="仿宋" w:hAnsi="仿宋" w:eastAsia="仿宋" w:cs="仿宋"/>
          <w:b w:val="0"/>
          <w:bCs w:val="0"/>
          <w:color w:val="000000" w:themeColor="text1"/>
          <w:spacing w:val="16"/>
          <w:sz w:val="32"/>
          <w:szCs w:val="32"/>
          <w:lang w:val="en-US" w:eastAsia="zh-CN"/>
          <w14:textFill>
            <w14:solidFill>
              <w14:schemeClr w14:val="tx1"/>
            </w14:solidFill>
          </w14:textFill>
        </w:rPr>
        <w:t>单个企业的补助金额</w:t>
      </w:r>
      <w:r>
        <w:rPr>
          <w:rFonts w:hint="eastAsia" w:ascii="仿宋" w:hAnsi="仿宋" w:eastAsia="仿宋" w:cs="仿宋"/>
          <w:b w:val="0"/>
          <w:bCs w:val="0"/>
          <w:color w:val="000000" w:themeColor="text1"/>
          <w:spacing w:val="16"/>
          <w:sz w:val="32"/>
          <w:szCs w:val="32"/>
          <w14:textFill>
            <w14:solidFill>
              <w14:schemeClr w14:val="tx1"/>
            </w14:solidFill>
          </w14:textFill>
        </w:rPr>
        <w:t>按</w:t>
      </w:r>
      <w:r>
        <w:rPr>
          <w:rFonts w:hint="eastAsia" w:ascii="仿宋" w:hAnsi="仿宋" w:eastAsia="仿宋" w:cs="仿宋"/>
          <w:b w:val="0"/>
          <w:bCs w:val="0"/>
          <w:color w:val="000000" w:themeColor="text1"/>
          <w:spacing w:val="16"/>
          <w:sz w:val="32"/>
          <w:szCs w:val="32"/>
          <w:lang w:val="en-US" w:eastAsia="zh-CN"/>
          <w14:textFill>
            <w14:solidFill>
              <w14:schemeClr w14:val="tx1"/>
            </w14:solidFill>
          </w14:textFill>
        </w:rPr>
        <w:t>照</w:t>
      </w:r>
      <w:r>
        <w:rPr>
          <w:rFonts w:hint="eastAsia" w:ascii="仿宋" w:hAnsi="仿宋" w:eastAsia="仿宋" w:cs="仿宋"/>
          <w:b w:val="0"/>
          <w:bCs w:val="0"/>
          <w:color w:val="000000" w:themeColor="text1"/>
          <w:spacing w:val="16"/>
          <w:sz w:val="32"/>
          <w:szCs w:val="32"/>
          <w14:textFill>
            <w14:solidFill>
              <w14:schemeClr w14:val="tx1"/>
            </w14:solidFill>
          </w14:textFill>
        </w:rPr>
        <w:t>船舶污染物接收量测算。</w:t>
      </w:r>
    </w:p>
    <w:p w14:paraId="7FDC67E0">
      <w:pPr>
        <w:keepNext w:val="0"/>
        <w:keepLines w:val="0"/>
        <w:pageBreakBefore w:val="0"/>
        <w:widowControl/>
        <w:kinsoku w:val="0"/>
        <w:wordWrap/>
        <w:overflowPunct/>
        <w:topLinePunct w:val="0"/>
        <w:autoSpaceDE w:val="0"/>
        <w:autoSpaceDN w:val="0"/>
        <w:bidi w:val="0"/>
        <w:adjustRightInd w:val="0"/>
        <w:snapToGrid w:val="0"/>
        <w:spacing w:line="560" w:lineRule="exact"/>
        <w:ind w:right="23" w:firstLine="704" w:firstLineChars="200"/>
        <w:jc w:val="both"/>
        <w:textAlignment w:val="baseline"/>
        <w:rPr>
          <w:rFonts w:hint="default" w:ascii="仿宋" w:hAnsi="仿宋" w:eastAsia="仿宋" w:cs="仿宋"/>
          <w:b w:val="0"/>
          <w:bCs w:val="0"/>
          <w:color w:val="000000" w:themeColor="text1"/>
          <w:spacing w:val="16"/>
          <w:sz w:val="32"/>
          <w:szCs w:val="32"/>
          <w:lang w:val="en-US" w:eastAsia="zh-CN"/>
          <w14:textFill>
            <w14:solidFill>
              <w14:schemeClr w14:val="tx1"/>
            </w14:solidFill>
          </w14:textFill>
        </w:rPr>
      </w:pPr>
      <w:r>
        <w:rPr>
          <w:rFonts w:hint="eastAsia" w:ascii="仿宋" w:hAnsi="仿宋" w:eastAsia="仿宋" w:cs="仿宋"/>
          <w:b w:val="0"/>
          <w:bCs w:val="0"/>
          <w:color w:val="000000" w:themeColor="text1"/>
          <w:spacing w:val="16"/>
          <w:sz w:val="32"/>
          <w:szCs w:val="32"/>
          <w14:textFill>
            <w14:solidFill>
              <w14:schemeClr w14:val="tx1"/>
            </w14:solidFill>
          </w14:textFill>
        </w:rPr>
        <w:t>2.</w:t>
      </w:r>
      <w:r>
        <w:rPr>
          <w:rFonts w:hint="eastAsia" w:ascii="仿宋" w:hAnsi="仿宋" w:eastAsia="仿宋" w:cs="仿宋"/>
          <w:b w:val="0"/>
          <w:bCs w:val="0"/>
          <w:color w:val="000000" w:themeColor="text1"/>
          <w:spacing w:val="16"/>
          <w:sz w:val="32"/>
          <w:szCs w:val="32"/>
          <w:lang w:val="en-US" w:eastAsia="zh-CN"/>
          <w14:textFill>
            <w14:solidFill>
              <w14:schemeClr w14:val="tx1"/>
            </w14:solidFill>
          </w14:textFill>
        </w:rPr>
        <w:t>50万元（</w:t>
      </w:r>
      <w:r>
        <w:rPr>
          <w:rFonts w:hint="eastAsia" w:ascii="仿宋" w:hAnsi="仿宋" w:eastAsia="仿宋" w:cs="仿宋"/>
          <w:b w:val="0"/>
          <w:bCs w:val="0"/>
          <w:color w:val="000000" w:themeColor="text1"/>
          <w:spacing w:val="16"/>
          <w:sz w:val="32"/>
          <w:szCs w:val="32"/>
          <w14:textFill>
            <w14:solidFill>
              <w14:schemeClr w14:val="tx1"/>
            </w14:solidFill>
          </w14:textFill>
        </w:rPr>
        <w:t>资金总额</w:t>
      </w:r>
      <w:r>
        <w:rPr>
          <w:rFonts w:hint="eastAsia" w:ascii="仿宋" w:hAnsi="仿宋" w:eastAsia="仿宋" w:cs="仿宋"/>
          <w:b w:val="0"/>
          <w:bCs w:val="0"/>
          <w:color w:val="000000" w:themeColor="text1"/>
          <w:spacing w:val="16"/>
          <w:sz w:val="32"/>
          <w:szCs w:val="32"/>
          <w:lang w:val="en-US" w:eastAsia="zh-CN"/>
          <w14:textFill>
            <w14:solidFill>
              <w14:schemeClr w14:val="tx1"/>
            </w14:solidFill>
          </w14:textFill>
        </w:rPr>
        <w:t>的25</w:t>
      </w:r>
      <w:r>
        <w:rPr>
          <w:rFonts w:hint="eastAsia" w:ascii="仿宋" w:hAnsi="仿宋" w:eastAsia="仿宋" w:cs="仿宋"/>
          <w:b w:val="0"/>
          <w:bCs w:val="0"/>
          <w:color w:val="000000" w:themeColor="text1"/>
          <w:spacing w:val="16"/>
          <w:sz w:val="32"/>
          <w:szCs w:val="32"/>
          <w14:textFill>
            <w14:solidFill>
              <w14:schemeClr w14:val="tx1"/>
            </w14:solidFill>
          </w14:textFill>
        </w:rPr>
        <w:t>%</w:t>
      </w:r>
      <w:r>
        <w:rPr>
          <w:rFonts w:hint="eastAsia" w:ascii="仿宋" w:hAnsi="仿宋" w:eastAsia="仿宋" w:cs="仿宋"/>
          <w:b w:val="0"/>
          <w:bCs w:val="0"/>
          <w:color w:val="000000" w:themeColor="text1"/>
          <w:spacing w:val="16"/>
          <w:sz w:val="32"/>
          <w:szCs w:val="32"/>
          <w:lang w:val="en-US" w:eastAsia="zh-CN"/>
          <w14:textFill>
            <w14:solidFill>
              <w14:schemeClr w14:val="tx1"/>
            </w14:solidFill>
          </w14:textFill>
        </w:rPr>
        <w:t>）</w:t>
      </w:r>
      <w:r>
        <w:rPr>
          <w:rFonts w:hint="eastAsia" w:ascii="仿宋" w:hAnsi="仿宋" w:eastAsia="仿宋" w:cs="仿宋"/>
          <w:b w:val="0"/>
          <w:bCs w:val="0"/>
          <w:color w:val="000000" w:themeColor="text1"/>
          <w:spacing w:val="16"/>
          <w:sz w:val="32"/>
          <w:szCs w:val="32"/>
          <w:lang w:eastAsia="zh-CN"/>
          <w14:textFill>
            <w14:solidFill>
              <w14:schemeClr w14:val="tx1"/>
            </w14:solidFill>
          </w14:textFill>
        </w:rPr>
        <w:t>，</w:t>
      </w:r>
      <w:r>
        <w:rPr>
          <w:rFonts w:hint="eastAsia" w:ascii="CESI仿宋-GB2312" w:hAnsi="CESI仿宋-GB2312" w:eastAsia="CESI仿宋-GB2312" w:cs="CESI仿宋-GB2312"/>
          <w:b w:val="0"/>
          <w:bCs w:val="0"/>
          <w:color w:val="000000" w:themeColor="text1"/>
          <w:spacing w:val="0"/>
          <w:sz w:val="32"/>
          <w:szCs w:val="32"/>
          <w:lang w:val="en-US" w:eastAsia="zh-CN"/>
          <w14:textFill>
            <w14:solidFill>
              <w14:schemeClr w14:val="tx1"/>
            </w14:solidFill>
          </w14:textFill>
        </w:rPr>
        <w:t>用于补助专业港口企业全免费处置船舶污染物的费用</w:t>
      </w:r>
      <w:r>
        <w:rPr>
          <w:rFonts w:hint="eastAsia" w:ascii="仿宋" w:hAnsi="仿宋" w:eastAsia="仿宋" w:cs="仿宋"/>
          <w:b w:val="0"/>
          <w:bCs w:val="0"/>
          <w:color w:val="000000" w:themeColor="text1"/>
          <w:spacing w:val="16"/>
          <w:sz w:val="32"/>
          <w:szCs w:val="32"/>
          <w:lang w:eastAsia="zh-CN"/>
          <w14:textFill>
            <w14:solidFill>
              <w14:schemeClr w14:val="tx1"/>
            </w14:solidFill>
          </w14:textFill>
        </w:rPr>
        <w:t>。</w:t>
      </w:r>
    </w:p>
    <w:p w14:paraId="79601DE4">
      <w:pPr>
        <w:keepNext w:val="0"/>
        <w:keepLines w:val="0"/>
        <w:pageBreakBefore w:val="0"/>
        <w:widowControl/>
        <w:kinsoku w:val="0"/>
        <w:wordWrap/>
        <w:overflowPunct/>
        <w:topLinePunct w:val="0"/>
        <w:autoSpaceDE w:val="0"/>
        <w:autoSpaceDN w:val="0"/>
        <w:bidi w:val="0"/>
        <w:adjustRightInd w:val="0"/>
        <w:snapToGrid w:val="0"/>
        <w:spacing w:line="560" w:lineRule="exact"/>
        <w:ind w:right="23" w:firstLine="704" w:firstLineChars="200"/>
        <w:jc w:val="both"/>
        <w:textAlignment w:val="baseline"/>
        <w:rPr>
          <w:rFonts w:hint="eastAsia" w:ascii="仿宋" w:hAnsi="仿宋" w:eastAsia="仿宋" w:cs="仿宋"/>
          <w:color w:val="000000" w:themeColor="text1"/>
          <w:sz w:val="32"/>
          <w:szCs w:val="32"/>
          <w:highlight w:val="yellow"/>
          <w14:textFill>
            <w14:solidFill>
              <w14:schemeClr w14:val="tx1"/>
            </w14:solidFill>
          </w14:textFill>
        </w:rPr>
      </w:pPr>
      <w:r>
        <w:rPr>
          <w:rFonts w:hint="eastAsia" w:ascii="仿宋" w:hAnsi="仿宋" w:eastAsia="仿宋" w:cs="仿宋"/>
          <w:b w:val="0"/>
          <w:bCs w:val="0"/>
          <w:color w:val="000000" w:themeColor="text1"/>
          <w:spacing w:val="16"/>
          <w:sz w:val="32"/>
          <w:szCs w:val="32"/>
          <w:lang w:val="en-US" w:eastAsia="zh-CN"/>
          <w14:textFill>
            <w14:solidFill>
              <w14:schemeClr w14:val="tx1"/>
            </w14:solidFill>
          </w14:textFill>
        </w:rPr>
        <w:t>3.接收的每吨生活垃圾、每立方米生活污水或含油污水按同等补助标准进行补助。</w:t>
      </w:r>
    </w:p>
    <w:p w14:paraId="08A66303">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640" w:leftChars="0" w:right="0" w:firstLine="0" w:firstLineChars="0"/>
        <w:jc w:val="left"/>
        <w:textAlignment w:val="auto"/>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补贴明细</w:t>
      </w:r>
    </w:p>
    <w:p w14:paraId="1BA1416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Chars="200" w:right="0" w:rightChars="0"/>
        <w:jc w:val="left"/>
        <w:textAlignment w:val="auto"/>
        <w:rPr>
          <w:rFonts w:hint="default" w:ascii="仿宋" w:hAnsi="仿宋" w:eastAsia="仿宋" w:cs="仿宋"/>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 详见附件</w:t>
      </w:r>
    </w:p>
    <w:p w14:paraId="5BCEFF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000000" w:themeColor="text1"/>
          <w:spacing w:val="0"/>
          <w:sz w:val="32"/>
          <w:szCs w:val="32"/>
          <w:shd w:val="clear" w:fill="FFFFFF"/>
          <w:lang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lang w:eastAsia="zh-CN"/>
          <w14:textFill>
            <w14:solidFill>
              <w14:schemeClr w14:val="tx1"/>
            </w14:solidFill>
          </w14:textFill>
        </w:rPr>
        <w:t>四、发放措施</w:t>
      </w:r>
    </w:p>
    <w:p w14:paraId="0B47ECC6">
      <w:pPr>
        <w:keepNext w:val="0"/>
        <w:keepLines w:val="0"/>
        <w:pageBreakBefore w:val="0"/>
        <w:wordWrap/>
        <w:overflowPunct/>
        <w:topLinePunct w:val="0"/>
        <w:bidi w:val="0"/>
        <w:adjustRightInd w:val="0"/>
        <w:snapToGrid w:val="0"/>
        <w:spacing w:line="560" w:lineRule="exact"/>
        <w:ind w:firstLine="640" w:firstLineChars="200"/>
        <w:jc w:val="both"/>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fill="FFFFFF"/>
          <w:lang w:val="en-US" w:eastAsia="zh-CN" w:bidi="ar"/>
          <w14:textFill>
            <w14:solidFill>
              <w14:schemeClr w14:val="tx1"/>
            </w14:solidFill>
          </w14:textFill>
        </w:rPr>
        <w:t>（一）在制定方案前，我局按照《关于加强鄂州市船舶和港口污染物免费接收管理的通知》，通过市交通运输局网站公开向全市各船舶港口服务相关企业通知报送船舶及生活垃圾接收量申报资料清单，明确了申报时限、申报材料、申报程序等要求。</w:t>
      </w:r>
    </w:p>
    <w:p w14:paraId="0B71C5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56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（二）</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截至2025年11月10日，全市共有15</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家企业</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按要求提交</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申请资料，</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受理材料后，</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市港航事业发展中心委托</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第三方专业机构</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湖北盛德联合会计事务所</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对</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企业</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提供的进行审查并实地复核，审查完毕后，</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确认符合条件的申报企业，明确发放</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金额，并予以公示。</w:t>
      </w:r>
    </w:p>
    <w:p w14:paraId="5F4DE2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（三）</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继续加强补贴资金发放后的监督检查，发现对申报过程中弄虚作假</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的</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企业，一律追回已发放的资金，并取消下一年度的补贴申报资格。</w:t>
      </w:r>
    </w:p>
    <w:p w14:paraId="0C923D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left"/>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p>
    <w:p w14:paraId="604C25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960" w:right="0" w:hanging="960" w:hangingChars="3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附件：</w:t>
      </w: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pacing w:val="-28"/>
          <w:sz w:val="32"/>
          <w:szCs w:val="32"/>
          <w:lang w:val="en-US" w:eastAsia="zh-CN"/>
          <w14:textFill>
            <w14:solidFill>
              <w14:schemeClr w14:val="tx1"/>
            </w14:solidFill>
          </w14:textFill>
        </w:rPr>
        <w:t>鄂州市船舶和港口污染物免费接收、处置</w:t>
      </w:r>
      <w:r>
        <w:rPr>
          <w:rFonts w:hint="eastAsia" w:ascii="仿宋" w:hAnsi="仿宋" w:eastAsia="仿宋" w:cs="仿宋"/>
          <w:color w:val="000000" w:themeColor="text1"/>
          <w:spacing w:val="-28"/>
          <w:sz w:val="32"/>
          <w:szCs w:val="32"/>
          <w14:textFill>
            <w14:solidFill>
              <w14:schemeClr w14:val="tx1"/>
            </w14:solidFill>
          </w14:textFill>
        </w:rPr>
        <w:t xml:space="preserve">补助资金汇总表 </w:t>
      </w:r>
      <w:r>
        <w:rPr>
          <w:rFonts w:hint="eastAsia" w:ascii="仿宋" w:hAnsi="仿宋" w:eastAsia="仿宋" w:cs="仿宋"/>
          <w:color w:val="000000" w:themeColor="text1"/>
          <w:sz w:val="32"/>
          <w:szCs w:val="32"/>
          <w14:textFill>
            <w14:solidFill>
              <w14:schemeClr w14:val="tx1"/>
            </w14:solidFill>
          </w14:textFill>
        </w:rPr>
        <w:t xml:space="preserve">                                                           2.鄂州市</w:t>
      </w:r>
      <w:r>
        <w:rPr>
          <w:rFonts w:hint="eastAsia" w:ascii="仿宋" w:hAnsi="仿宋" w:eastAsia="仿宋" w:cs="仿宋"/>
          <w:color w:val="000000" w:themeColor="text1"/>
          <w:sz w:val="32"/>
          <w:szCs w:val="32"/>
          <w:lang w:val="en-US" w:eastAsia="zh-CN"/>
          <w14:textFill>
            <w14:solidFill>
              <w14:schemeClr w14:val="tx1"/>
            </w14:solidFill>
          </w14:textFill>
        </w:rPr>
        <w:t>港口船舶</w:t>
      </w:r>
      <w:r>
        <w:rPr>
          <w:rFonts w:hint="eastAsia" w:ascii="仿宋" w:hAnsi="仿宋" w:eastAsia="仿宋" w:cs="仿宋"/>
          <w:color w:val="000000" w:themeColor="text1"/>
          <w:sz w:val="32"/>
          <w:szCs w:val="32"/>
          <w14:textFill>
            <w14:solidFill>
              <w14:schemeClr w14:val="tx1"/>
            </w14:solidFill>
          </w14:textFill>
        </w:rPr>
        <w:t>污染物接收</w:t>
      </w:r>
      <w:r>
        <w:rPr>
          <w:rFonts w:hint="eastAsia" w:ascii="仿宋" w:hAnsi="仿宋" w:eastAsia="仿宋" w:cs="仿宋"/>
          <w:color w:val="000000" w:themeColor="text1"/>
          <w:sz w:val="32"/>
          <w:szCs w:val="32"/>
          <w:lang w:val="en-US" w:eastAsia="zh-CN"/>
          <w14:textFill>
            <w14:solidFill>
              <w14:schemeClr w14:val="tx1"/>
            </w14:solidFill>
          </w14:textFill>
        </w:rPr>
        <w:t>明细</w:t>
      </w:r>
      <w:r>
        <w:rPr>
          <w:rFonts w:hint="eastAsia" w:ascii="仿宋" w:hAnsi="仿宋" w:eastAsia="仿宋" w:cs="仿宋"/>
          <w:color w:val="000000" w:themeColor="text1"/>
          <w:sz w:val="32"/>
          <w:szCs w:val="32"/>
          <w14:textFill>
            <w14:solidFill>
              <w14:schemeClr w14:val="tx1"/>
            </w14:solidFill>
          </w14:textFill>
        </w:rPr>
        <w:t>表                        3.</w:t>
      </w:r>
      <w:r>
        <w:rPr>
          <w:rFonts w:hint="eastAsia" w:ascii="仿宋" w:hAnsi="仿宋" w:eastAsia="仿宋" w:cs="仿宋"/>
          <w:color w:val="000000" w:themeColor="text1"/>
          <w:sz w:val="32"/>
          <w:szCs w:val="32"/>
          <w:lang w:val="en-US" w:eastAsia="zh-CN"/>
          <w14:textFill>
            <w14:solidFill>
              <w14:schemeClr w14:val="tx1"/>
            </w14:solidFill>
          </w14:textFill>
        </w:rPr>
        <w:t>核减资金调剂分配明细表</w:t>
      </w:r>
    </w:p>
    <w:p w14:paraId="7DD7C4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960" w:right="0" w:hanging="960" w:hangingChars="300"/>
        <w:jc w:val="left"/>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4.鄂州市港口船舶污染物接收量审核明细表</w:t>
      </w:r>
    </w:p>
    <w:p w14:paraId="1DC174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w:t>
      </w:r>
    </w:p>
    <w:p w14:paraId="3C622A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14:paraId="1E12C0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960" w:right="0" w:hanging="960" w:hangingChars="300"/>
        <w:jc w:val="center"/>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鄂州市交通运输局</w:t>
      </w:r>
    </w:p>
    <w:p w14:paraId="033D19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960" w:right="0" w:hanging="960" w:hangingChars="3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2025年11月20</w:t>
      </w:r>
      <w:bookmarkStart w:id="0" w:name="_GoBack"/>
      <w:bookmarkEnd w:id="0"/>
      <w:r>
        <w:rPr>
          <w:rFonts w:hint="eastAsia" w:ascii="仿宋" w:hAnsi="仿宋" w:eastAsia="仿宋" w:cs="仿宋"/>
          <w:color w:val="000000" w:themeColor="text1"/>
          <w:sz w:val="32"/>
          <w:szCs w:val="32"/>
          <w:lang w:val="en-US" w:eastAsia="zh-CN"/>
          <w14:textFill>
            <w14:solidFill>
              <w14:schemeClr w14:val="tx1"/>
            </w14:solidFill>
          </w14:textFill>
        </w:rPr>
        <w:t>日</w:t>
      </w:r>
    </w:p>
    <w:p w14:paraId="744999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960" w:right="0" w:hanging="960" w:hangingChars="3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25FF518E">
      <w:pPr>
        <w:rPr>
          <w:rFonts w:hint="default" w:eastAsiaTheme="minorEastAsia"/>
          <w:lang w:val="en-US" w:eastAsia="zh-CN"/>
        </w:rPr>
      </w:pPr>
      <w:r>
        <w:rPr>
          <w:rFonts w:hint="eastAsia"/>
          <w:lang w:val="en-US" w:eastAsia="zh-CN"/>
        </w:rPr>
        <w:t>附件1</w:t>
      </w:r>
    </w:p>
    <w:p w14:paraId="711BD342">
      <w:pPr>
        <w:rPr>
          <w:rFonts w:hint="default"/>
          <w:lang w:val="en-US" w:eastAsia="zh-CN"/>
        </w:rPr>
        <w:sectPr>
          <w:pgSz w:w="16838" w:h="11906" w:orient="landscape"/>
          <w:pgMar w:top="1633" w:right="1440" w:bottom="1349" w:left="1440" w:header="851" w:footer="992" w:gutter="0"/>
          <w:cols w:space="425" w:num="1"/>
          <w:docGrid w:type="lines" w:linePitch="312" w:charSpace="0"/>
        </w:sectPr>
      </w:pPr>
      <w:r>
        <w:drawing>
          <wp:inline distT="0" distB="0" distL="114300" distR="114300">
            <wp:extent cx="8727440" cy="5357495"/>
            <wp:effectExtent l="0" t="0" r="16510" b="146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4"/>
                    <a:stretch>
                      <a:fillRect/>
                    </a:stretch>
                  </pic:blipFill>
                  <pic:spPr>
                    <a:xfrm>
                      <a:off x="0" y="0"/>
                      <a:ext cx="8727440" cy="5357495"/>
                    </a:xfrm>
                    <a:prstGeom prst="rect">
                      <a:avLst/>
                    </a:prstGeom>
                    <a:noFill/>
                    <a:ln>
                      <a:noFill/>
                    </a:ln>
                  </pic:spPr>
                </pic:pic>
              </a:graphicData>
            </a:graphic>
          </wp:inline>
        </w:drawing>
      </w:r>
    </w:p>
    <w:p w14:paraId="23FB60AA">
      <w:pPr>
        <w:rPr>
          <w:rFonts w:hint="default"/>
          <w:lang w:val="en-US" w:eastAsia="zh-CN"/>
        </w:rPr>
      </w:pPr>
      <w:r>
        <w:rPr>
          <w:rFonts w:hint="eastAsia"/>
          <w:lang w:val="en-US" w:eastAsia="zh-CN"/>
        </w:rPr>
        <w:t>附件2</w:t>
      </w:r>
    </w:p>
    <w:p w14:paraId="6912C605">
      <w:r>
        <w:drawing>
          <wp:inline distT="0" distB="0" distL="114300" distR="114300">
            <wp:extent cx="8929370" cy="5719445"/>
            <wp:effectExtent l="0" t="0" r="5080" b="146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5"/>
                    <a:stretch>
                      <a:fillRect/>
                    </a:stretch>
                  </pic:blipFill>
                  <pic:spPr>
                    <a:xfrm>
                      <a:off x="0" y="0"/>
                      <a:ext cx="8929370" cy="5719445"/>
                    </a:xfrm>
                    <a:prstGeom prst="rect">
                      <a:avLst/>
                    </a:prstGeom>
                    <a:noFill/>
                    <a:ln>
                      <a:noFill/>
                    </a:ln>
                  </pic:spPr>
                </pic:pic>
              </a:graphicData>
            </a:graphic>
          </wp:inline>
        </w:drawing>
      </w:r>
    </w:p>
    <w:p w14:paraId="6406084B">
      <w:pPr>
        <w:rPr>
          <w:rFonts w:hint="eastAsia"/>
          <w:lang w:val="en-US" w:eastAsia="zh-CN"/>
        </w:rPr>
      </w:pPr>
      <w:r>
        <w:rPr>
          <w:rFonts w:hint="eastAsia"/>
          <w:lang w:val="en-US" w:eastAsia="zh-CN"/>
        </w:rPr>
        <w:t>附件3</w:t>
      </w:r>
    </w:p>
    <w:p w14:paraId="1288A35D">
      <w:r>
        <w:drawing>
          <wp:inline distT="0" distB="0" distL="114300" distR="114300">
            <wp:extent cx="8860155" cy="5404485"/>
            <wp:effectExtent l="0" t="0" r="17145" b="571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6"/>
                    <a:stretch>
                      <a:fillRect/>
                    </a:stretch>
                  </pic:blipFill>
                  <pic:spPr>
                    <a:xfrm>
                      <a:off x="0" y="0"/>
                      <a:ext cx="8860155" cy="5404485"/>
                    </a:xfrm>
                    <a:prstGeom prst="rect">
                      <a:avLst/>
                    </a:prstGeom>
                    <a:noFill/>
                    <a:ln>
                      <a:noFill/>
                    </a:ln>
                  </pic:spPr>
                </pic:pic>
              </a:graphicData>
            </a:graphic>
          </wp:inline>
        </w:drawing>
      </w:r>
    </w:p>
    <w:p w14:paraId="1CEFEDF5"/>
    <w:p w14:paraId="381F8317">
      <w:pPr>
        <w:rPr>
          <w:rFonts w:hint="eastAsia"/>
          <w:lang w:val="en-US" w:eastAsia="zh-CN"/>
        </w:rPr>
      </w:pPr>
      <w:r>
        <w:rPr>
          <w:rFonts w:hint="eastAsia"/>
          <w:lang w:val="en-US" w:eastAsia="zh-CN"/>
        </w:rPr>
        <w:t>附件4</w:t>
      </w:r>
    </w:p>
    <w:p w14:paraId="73D2187B">
      <w:pPr>
        <w:rPr>
          <w:rFonts w:hint="default"/>
          <w:lang w:val="en-US" w:eastAsia="zh-CN"/>
        </w:rPr>
      </w:pPr>
      <w:r>
        <w:drawing>
          <wp:inline distT="0" distB="0" distL="114300" distR="114300">
            <wp:extent cx="8862060" cy="5708015"/>
            <wp:effectExtent l="0" t="0" r="15240" b="698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7"/>
                    <a:stretch>
                      <a:fillRect/>
                    </a:stretch>
                  </pic:blipFill>
                  <pic:spPr>
                    <a:xfrm>
                      <a:off x="0" y="0"/>
                      <a:ext cx="8862060" cy="5708015"/>
                    </a:xfrm>
                    <a:prstGeom prst="rect">
                      <a:avLst/>
                    </a:prstGeom>
                    <a:noFill/>
                    <a:ln>
                      <a:noFill/>
                    </a:ln>
                  </pic:spPr>
                </pic:pic>
              </a:graphicData>
            </a:graphic>
          </wp:inline>
        </w:drawing>
      </w:r>
    </w:p>
    <w:sectPr>
      <w:pgSz w:w="16838" w:h="11906" w:orient="landscape"/>
      <w:pgMar w:top="1066" w:right="1440" w:bottom="134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5BC4E4"/>
    <w:multiLevelType w:val="singleLevel"/>
    <w:tmpl w:val="6D5BC4E4"/>
    <w:lvl w:ilvl="0" w:tentative="0">
      <w:start w:val="3"/>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xMTI1ZTU2NzZjNmNiZTVlYzQ3MDgxYWYzOTRiMDIifQ=="/>
  </w:docVars>
  <w:rsids>
    <w:rsidRoot w:val="00000000"/>
    <w:rsid w:val="019F605D"/>
    <w:rsid w:val="02CF724E"/>
    <w:rsid w:val="054B4D51"/>
    <w:rsid w:val="083A27B3"/>
    <w:rsid w:val="11700E48"/>
    <w:rsid w:val="146B35A6"/>
    <w:rsid w:val="168E6D50"/>
    <w:rsid w:val="180F2585"/>
    <w:rsid w:val="24FB4266"/>
    <w:rsid w:val="27423D67"/>
    <w:rsid w:val="275F04F8"/>
    <w:rsid w:val="2D450775"/>
    <w:rsid w:val="305667F5"/>
    <w:rsid w:val="32AF043E"/>
    <w:rsid w:val="35332B81"/>
    <w:rsid w:val="37F76B0F"/>
    <w:rsid w:val="392B2E21"/>
    <w:rsid w:val="3B9B440F"/>
    <w:rsid w:val="42470693"/>
    <w:rsid w:val="47503B46"/>
    <w:rsid w:val="50843373"/>
    <w:rsid w:val="5D2821C5"/>
    <w:rsid w:val="6B707775"/>
    <w:rsid w:val="6BCB6BD3"/>
    <w:rsid w:val="6EE22CA9"/>
    <w:rsid w:val="73770D3C"/>
    <w:rsid w:val="73A806E2"/>
    <w:rsid w:val="75EB41BE"/>
    <w:rsid w:val="7973129C"/>
    <w:rsid w:val="7B203A4C"/>
    <w:rsid w:val="7FE31476"/>
    <w:rsid w:val="AC7707AC"/>
    <w:rsid w:val="EEFFD9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5">
    <w:name w:val="font31"/>
    <w:basedOn w:val="4"/>
    <w:qFormat/>
    <w:uiPriority w:val="0"/>
    <w:rPr>
      <w:rFonts w:hint="eastAsia" w:ascii="宋体" w:hAnsi="宋体" w:eastAsia="宋体" w:cs="宋体"/>
      <w:color w:val="000000"/>
      <w:sz w:val="36"/>
      <w:szCs w:val="3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786</Words>
  <Characters>826</Characters>
  <Lines>0</Lines>
  <Paragraphs>0</Paragraphs>
  <TotalTime>9</TotalTime>
  <ScaleCrop>false</ScaleCrop>
  <LinksUpToDate>false</LinksUpToDate>
  <CharactersWithSpaces>1000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yinzhi</cp:lastModifiedBy>
  <cp:lastPrinted>2025-11-19T09:06:00Z</cp:lastPrinted>
  <dcterms:modified xsi:type="dcterms:W3CDTF">2025-11-20T17:30:01Z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11DFD60B5E724D1386AD2ED18EB8702E_13</vt:lpwstr>
  </property>
  <property fmtid="{D5CDD505-2E9C-101B-9397-08002B2CF9AE}" pid="4" name="KSOTemplateDocerSaveRecord">
    <vt:lpwstr>eyJoZGlkIjoiN2IwZDk4OGY3NzBmMjMyNGU4ZWFkMmJlMjc5MmQxNjAiLCJ1c2VySWQiOiIyNDE1Njc4MiJ9</vt:lpwstr>
  </property>
</Properties>
</file>