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eastAsia" w:ascii="宋体" w:hAnsi="宋体" w:eastAsia="仿宋" w:cs="宋体"/>
          <w:color w:val="333333"/>
          <w:kern w:val="2"/>
          <w:sz w:val="32"/>
          <w:szCs w:val="24"/>
          <w:lang w:val="en-US" w:eastAsia="zh-CN" w:bidi="ar-SA"/>
        </w:rPr>
      </w:pPr>
      <w:r>
        <w:rPr>
          <w:rFonts w:hint="eastAsia" w:ascii="宋体" w:hAnsi="宋体" w:eastAsia="仿宋_GB2312" w:cs="宋体"/>
          <w:i w:val="0"/>
          <w:iCs w:val="0"/>
          <w:caps w:val="0"/>
          <w:color w:val="333333"/>
          <w:spacing w:val="0"/>
          <w:sz w:val="32"/>
          <w:szCs w:val="19"/>
          <w:shd w:val="clear" w:fill="FFFFFF"/>
        </w:rPr>
        <w:t>　　</w:t>
      </w:r>
      <w:r>
        <w:rPr>
          <w:rFonts w:hint="eastAsia" w:ascii="宋体" w:hAnsi="宋体" w:eastAsia="仿宋_GB2312" w:cs="宋体"/>
          <w:i w:val="0"/>
          <w:iCs w:val="0"/>
          <w:caps w:val="0"/>
          <w:color w:val="333333"/>
          <w:spacing w:val="0"/>
          <w:sz w:val="32"/>
          <w:szCs w:val="24"/>
          <w:shd w:val="clear" w:fill="FFFFFF"/>
        </w:rPr>
        <w:t> </w:t>
      </w:r>
      <w:r>
        <w:rPr>
          <w:rFonts w:hint="eastAsia" w:ascii="宋体" w:hAnsi="宋体" w:eastAsia="仿宋_GB2312" w:cs="宋体"/>
          <w:i w:val="0"/>
          <w:iCs w:val="0"/>
          <w:caps w:val="0"/>
          <w:color w:val="333333"/>
          <w:spacing w:val="0"/>
          <w:sz w:val="32"/>
          <w:szCs w:val="19"/>
          <w:shd w:val="clear" w:fill="FFFFFF"/>
        </w:rPr>
        <w:t> </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黑体" w:hAnsi="黑体" w:eastAsia="黑体" w:cs="黑体"/>
          <w:color w:val="000000" w:themeColor="text1"/>
          <w:sz w:val="44"/>
          <w:szCs w:val="44"/>
          <w:lang w:val="en-US" w:eastAsia="zh-CN"/>
          <w14:textFill>
            <w14:solidFill>
              <w14:schemeClr w14:val="tx1"/>
            </w14:solidFill>
          </w14:textFill>
        </w:rPr>
      </w:pPr>
      <w:bookmarkStart w:id="0" w:name="_GoBack"/>
      <w:r>
        <w:rPr>
          <w:rFonts w:hint="eastAsia" w:ascii="黑体" w:hAnsi="黑体" w:eastAsia="黑体" w:cs="黑体"/>
          <w:color w:val="000000" w:themeColor="text1"/>
          <w:sz w:val="44"/>
          <w:szCs w:val="44"/>
          <w:lang w:eastAsia="zh-CN"/>
          <w14:textFill>
            <w14:solidFill>
              <w14:schemeClr w14:val="tx1"/>
            </w14:solidFill>
          </w14:textFill>
        </w:rPr>
        <w:t>鄂州市202</w:t>
      </w:r>
      <w:r>
        <w:rPr>
          <w:rFonts w:hint="eastAsia" w:ascii="黑体" w:hAnsi="黑体" w:eastAsia="黑体" w:cs="黑体"/>
          <w:color w:val="000000" w:themeColor="text1"/>
          <w:sz w:val="44"/>
          <w:szCs w:val="44"/>
          <w:lang w:val="en-US" w:eastAsia="zh-CN"/>
          <w14:textFill>
            <w14:solidFill>
              <w14:schemeClr w14:val="tx1"/>
            </w14:solidFill>
          </w14:textFill>
        </w:rPr>
        <w:t>5年农村水路客运补贴</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黑体" w:hAnsi="黑体" w:eastAsia="黑体" w:cs="黑体"/>
          <w:color w:val="000000" w:themeColor="text1"/>
          <w:sz w:val="44"/>
          <w:szCs w:val="44"/>
          <w:lang w:val="en-US" w:eastAsia="zh-CN"/>
          <w14:textFill>
            <w14:solidFill>
              <w14:schemeClr w14:val="tx1"/>
            </w14:solidFill>
          </w14:textFill>
        </w:rPr>
      </w:pPr>
      <w:r>
        <w:rPr>
          <w:rFonts w:hint="eastAsia" w:ascii="黑体" w:hAnsi="黑体" w:eastAsia="黑体" w:cs="黑体"/>
          <w:color w:val="000000" w:themeColor="text1"/>
          <w:sz w:val="44"/>
          <w:szCs w:val="44"/>
          <w:lang w:val="en-US" w:eastAsia="zh-CN"/>
          <w14:textFill>
            <w14:solidFill>
              <w14:schemeClr w14:val="tx1"/>
            </w14:solidFill>
          </w14:textFill>
        </w:rPr>
        <w:t>资金分配方案（征求意见稿）</w:t>
      </w:r>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000000" w:themeColor="text1"/>
          <w:sz w:val="44"/>
          <w:szCs w:val="44"/>
          <w:u w:val="none"/>
          <w:shd w:val="clear" w:fill="E6F0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根据《省财政厅关于下达2025年农村客运补贴资金和城市交通发展奖励资金的</w:t>
      </w:r>
      <w:r>
        <w:rPr>
          <w:rFonts w:hint="eastAsia" w:ascii="仿宋" w:hAnsi="仿宋" w:eastAsia="仿宋" w:cs="仿宋"/>
          <w:bCs/>
          <w:color w:val="000000" w:themeColor="text1"/>
          <w:sz w:val="32"/>
          <w:szCs w:val="32"/>
          <w14:textFill>
            <w14:solidFill>
              <w14:schemeClr w14:val="tx1"/>
            </w14:solidFill>
          </w14:textFill>
        </w:rPr>
        <w:t>通知》（鄂财建发〔202</w:t>
      </w:r>
      <w:r>
        <w:rPr>
          <w:rFonts w:hint="eastAsia" w:ascii="仿宋" w:hAnsi="仿宋" w:eastAsia="仿宋" w:cs="仿宋"/>
          <w:bCs/>
          <w:color w:val="000000" w:themeColor="text1"/>
          <w:sz w:val="32"/>
          <w:szCs w:val="32"/>
          <w:lang w:val="en-US" w:eastAsia="zh-CN"/>
          <w14:textFill>
            <w14:solidFill>
              <w14:schemeClr w14:val="tx1"/>
            </w14:solidFill>
          </w14:textFill>
        </w:rPr>
        <w:t>5</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61</w:t>
      </w:r>
      <w:r>
        <w:rPr>
          <w:rFonts w:hint="eastAsia" w:ascii="仿宋" w:hAnsi="仿宋" w:eastAsia="仿宋" w:cs="仿宋"/>
          <w:bCs/>
          <w:color w:val="000000" w:themeColor="text1"/>
          <w:sz w:val="32"/>
          <w:szCs w:val="32"/>
          <w14:textFill>
            <w14:solidFill>
              <w14:schemeClr w14:val="tx1"/>
            </w14:solidFill>
          </w14:textFill>
        </w:rPr>
        <w:t>号）</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省交通运输厅、省财政厅关于印发〈</w:t>
      </w:r>
      <w:r>
        <w:rPr>
          <w:rFonts w:hint="eastAsia" w:ascii="仿宋" w:hAnsi="仿宋" w:eastAsia="仿宋" w:cs="仿宋"/>
          <w:color w:val="000000" w:themeColor="text1"/>
          <w:sz w:val="32"/>
          <w:szCs w:val="32"/>
          <w14:textFill>
            <w14:solidFill>
              <w14:schemeClr w14:val="tx1"/>
            </w14:solidFill>
          </w14:textFill>
        </w:rPr>
        <w:t>湖北省农村客运补贴资金和</w:t>
      </w:r>
      <w:r>
        <w:rPr>
          <w:rFonts w:hint="eastAsia" w:ascii="仿宋" w:hAnsi="仿宋" w:eastAsia="仿宋" w:cs="仿宋"/>
          <w:bCs/>
          <w:color w:val="000000" w:themeColor="text1"/>
          <w:sz w:val="32"/>
          <w:szCs w:val="32"/>
          <w14:textFill>
            <w14:solidFill>
              <w14:schemeClr w14:val="tx1"/>
            </w14:solidFill>
          </w14:textFill>
        </w:rPr>
        <w:t>城市交通发展奖励资金管理实施细则</w:t>
      </w:r>
      <w:r>
        <w:rPr>
          <w:rFonts w:hint="eastAsia" w:ascii="仿宋" w:hAnsi="仿宋" w:eastAsia="仿宋" w:cs="仿宋"/>
          <w:color w:val="000000" w:themeColor="text1"/>
          <w:sz w:val="32"/>
          <w:szCs w:val="32"/>
          <w:lang w:eastAsia="zh-CN"/>
          <w14:textFill>
            <w14:solidFill>
              <w14:schemeClr w14:val="tx1"/>
            </w14:solidFill>
          </w14:textFill>
        </w:rPr>
        <w:t>〉的通知</w:t>
      </w:r>
      <w:r>
        <w:rPr>
          <w:rFonts w:hint="eastAsia" w:ascii="仿宋" w:hAnsi="仿宋" w:eastAsia="仿宋" w:cs="仿宋"/>
          <w:bCs/>
          <w:color w:val="000000" w:themeColor="text1"/>
          <w:sz w:val="32"/>
          <w:szCs w:val="32"/>
          <w14:textFill>
            <w14:solidFill>
              <w14:schemeClr w14:val="tx1"/>
            </w14:solidFill>
          </w14:textFill>
        </w:rPr>
        <w:t>》（鄂交发﹝2022﹞82号）</w:t>
      </w:r>
      <w:r>
        <w:rPr>
          <w:rFonts w:hint="eastAsia" w:ascii="仿宋" w:hAnsi="仿宋" w:eastAsia="仿宋" w:cs="仿宋"/>
          <w:bCs/>
          <w:color w:val="000000" w:themeColor="text1"/>
          <w:sz w:val="32"/>
          <w:szCs w:val="32"/>
          <w:lang w:eastAsia="zh-CN"/>
          <w14:textFill>
            <w14:solidFill>
              <w14:schemeClr w14:val="tx1"/>
            </w14:solidFill>
          </w14:textFill>
        </w:rPr>
        <w:t>和</w:t>
      </w:r>
      <w:r>
        <w:rPr>
          <w:rFonts w:hint="eastAsia" w:ascii="仿宋" w:hAnsi="仿宋" w:eastAsia="仿宋" w:cs="仿宋"/>
          <w:color w:val="000000" w:themeColor="text1"/>
          <w:sz w:val="32"/>
          <w:szCs w:val="32"/>
          <w14:textFill>
            <w14:solidFill>
              <w14:schemeClr w14:val="tx1"/>
            </w14:solidFill>
          </w14:textFill>
        </w:rPr>
        <w:t>《湖北省</w:t>
      </w:r>
      <w:r>
        <w:rPr>
          <w:rFonts w:hint="eastAsia" w:ascii="仿宋" w:hAnsi="仿宋" w:eastAsia="仿宋" w:cs="仿宋"/>
          <w:color w:val="000000" w:themeColor="text1"/>
          <w:sz w:val="32"/>
          <w:szCs w:val="32"/>
          <w:lang w:eastAsia="zh-CN"/>
          <w14:textFill>
            <w14:solidFill>
              <w14:schemeClr w14:val="tx1"/>
            </w14:solidFill>
          </w14:textFill>
        </w:rPr>
        <w:t>交通运输厅关于印发〈“美丽乡村渡口”共同缔造实施方案〉的通知</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eastAsia="zh-CN"/>
          <w14:textFill>
            <w14:solidFill>
              <w14:schemeClr w14:val="tx1"/>
            </w14:solidFill>
          </w14:textFill>
        </w:rPr>
        <w:t>（鄂交发</w:t>
      </w:r>
      <w:r>
        <w:rPr>
          <w:rFonts w:hint="eastAsia" w:ascii="仿宋" w:hAnsi="仿宋" w:eastAsia="仿宋" w:cs="仿宋"/>
          <w:bCs/>
          <w:color w:val="000000" w:themeColor="text1"/>
          <w:sz w:val="32"/>
          <w:szCs w:val="32"/>
          <w14:textFill>
            <w14:solidFill>
              <w14:schemeClr w14:val="tx1"/>
            </w14:solidFill>
          </w14:textFill>
        </w:rPr>
        <w:t>﹝2022﹞8</w:t>
      </w:r>
      <w:r>
        <w:rPr>
          <w:rFonts w:hint="eastAsia" w:ascii="仿宋" w:hAnsi="仿宋" w:eastAsia="仿宋" w:cs="仿宋"/>
          <w:bCs/>
          <w:color w:val="000000" w:themeColor="text1"/>
          <w:sz w:val="32"/>
          <w:szCs w:val="32"/>
          <w:lang w:val="en-US" w:eastAsia="zh-CN"/>
          <w14:textFill>
            <w14:solidFill>
              <w14:schemeClr w14:val="tx1"/>
            </w14:solidFill>
          </w14:textFill>
        </w:rPr>
        <w:t>3</w:t>
      </w:r>
      <w:r>
        <w:rPr>
          <w:rFonts w:hint="eastAsia" w:ascii="仿宋" w:hAnsi="仿宋" w:eastAsia="仿宋" w:cs="仿宋"/>
          <w:bCs/>
          <w:color w:val="000000" w:themeColor="text1"/>
          <w:sz w:val="32"/>
          <w:szCs w:val="32"/>
          <w14:textFill>
            <w14:solidFill>
              <w14:schemeClr w14:val="tx1"/>
            </w14:solidFill>
          </w14:textFill>
        </w:rPr>
        <w:t>号</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文件</w:t>
      </w:r>
      <w:r>
        <w:rPr>
          <w:rFonts w:hint="eastAsia" w:ascii="仿宋" w:hAnsi="仿宋" w:eastAsia="仿宋" w:cs="仿宋"/>
          <w:bCs/>
          <w:color w:val="000000" w:themeColor="text1"/>
          <w:sz w:val="32"/>
          <w:szCs w:val="32"/>
          <w:lang w:val="en-US" w:eastAsia="zh-CN"/>
          <w14:textFill>
            <w14:solidFill>
              <w14:schemeClr w14:val="tx1"/>
            </w14:solidFill>
          </w14:textFill>
        </w:rPr>
        <w:t>要求</w:t>
      </w:r>
      <w:r>
        <w:rPr>
          <w:rFonts w:hint="eastAsia" w:ascii="仿宋" w:hAnsi="仿宋" w:eastAsia="仿宋" w:cs="仿宋"/>
          <w:bCs/>
          <w:color w:val="000000" w:themeColor="text1"/>
          <w:sz w:val="32"/>
          <w:szCs w:val="32"/>
          <w14:textFill>
            <w14:solidFill>
              <w14:schemeClr w14:val="tx1"/>
            </w14:solidFill>
          </w14:textFill>
        </w:rPr>
        <w:t>，结合</w:t>
      </w:r>
      <w:r>
        <w:rPr>
          <w:rFonts w:hint="eastAsia" w:ascii="仿宋" w:hAnsi="仿宋" w:eastAsia="仿宋" w:cs="仿宋"/>
          <w:bCs/>
          <w:color w:val="000000" w:themeColor="text1"/>
          <w:sz w:val="32"/>
          <w:szCs w:val="32"/>
          <w:lang w:eastAsia="zh-CN"/>
          <w14:textFill>
            <w14:solidFill>
              <w14:schemeClr w14:val="tx1"/>
            </w14:solidFill>
          </w14:textFill>
        </w:rPr>
        <w:t>实际情况</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我中心制定了</w:t>
      </w:r>
      <w:r>
        <w:rPr>
          <w:rFonts w:hint="eastAsia" w:ascii="仿宋" w:hAnsi="仿宋" w:eastAsia="仿宋" w:cs="仿宋"/>
          <w:bCs/>
          <w:color w:val="000000" w:themeColor="text1"/>
          <w:sz w:val="32"/>
          <w:szCs w:val="32"/>
          <w14:textFill>
            <w14:solidFill>
              <w14:schemeClr w14:val="tx1"/>
            </w14:solidFill>
          </w14:textFill>
        </w:rPr>
        <w:t>202</w:t>
      </w:r>
      <w:r>
        <w:rPr>
          <w:rFonts w:hint="eastAsia" w:ascii="仿宋" w:hAnsi="仿宋" w:eastAsia="仿宋" w:cs="仿宋"/>
          <w:bCs/>
          <w:color w:val="000000" w:themeColor="text1"/>
          <w:sz w:val="32"/>
          <w:szCs w:val="32"/>
          <w:lang w:val="en-US" w:eastAsia="zh-CN"/>
          <w14:textFill>
            <w14:solidFill>
              <w14:schemeClr w14:val="tx1"/>
            </w14:solidFill>
          </w14:textFill>
        </w:rPr>
        <w:t>5</w:t>
      </w:r>
      <w:r>
        <w:rPr>
          <w:rFonts w:hint="eastAsia" w:ascii="仿宋" w:hAnsi="仿宋" w:eastAsia="仿宋" w:cs="仿宋"/>
          <w:bCs/>
          <w:color w:val="000000" w:themeColor="text1"/>
          <w:sz w:val="32"/>
          <w:szCs w:val="32"/>
          <w14:textFill>
            <w14:solidFill>
              <w14:schemeClr w14:val="tx1"/>
            </w14:solidFill>
          </w14:textFill>
        </w:rPr>
        <w:t>年农村水路客运补贴资金分配方案</w:t>
      </w:r>
      <w:r>
        <w:rPr>
          <w:rFonts w:hint="eastAsia" w:ascii="仿宋" w:hAnsi="仿宋" w:eastAsia="仿宋" w:cs="仿宋"/>
          <w:bCs/>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一、资金构成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2025年</w:t>
      </w:r>
      <w:r>
        <w:rPr>
          <w:rFonts w:hint="eastAsia" w:ascii="仿宋" w:hAnsi="仿宋" w:eastAsia="仿宋" w:cs="仿宋"/>
          <w:color w:val="000000" w:themeColor="text1"/>
          <w:sz w:val="32"/>
          <w:szCs w:val="32"/>
          <w14:textFill>
            <w14:solidFill>
              <w14:schemeClr w14:val="tx1"/>
            </w14:solidFill>
          </w14:textFill>
        </w:rPr>
        <w:t>农村水路客运补贴</w:t>
      </w:r>
      <w:r>
        <w:rPr>
          <w:rFonts w:hint="eastAsia" w:ascii="仿宋" w:hAnsi="仿宋" w:eastAsia="仿宋" w:cs="仿宋"/>
          <w:color w:val="000000" w:themeColor="text1"/>
          <w:sz w:val="32"/>
          <w:szCs w:val="32"/>
          <w:lang w:val="en-US" w:eastAsia="zh-CN"/>
          <w14:textFill>
            <w14:solidFill>
              <w14:schemeClr w14:val="tx1"/>
            </w14:solidFill>
          </w14:textFill>
        </w:rPr>
        <w:t>分配资金总额143.025万元，其中：2025年下达的农村水路客运补贴资金143万元（具体包括费改税补贴资金24万元、涨价补贴资金12万元和乡村渡口提档升级资金107万元），2024年结转资金0.025万元。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32"/>
          <w:lang w:val="en-US"/>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二、农村水路客运</w:t>
      </w:r>
      <w:r>
        <w:rPr>
          <w:rFonts w:hint="eastAsia" w:ascii="黑体" w:hAnsi="黑体" w:eastAsia="黑体" w:cs="黑体"/>
          <w:b w:val="0"/>
          <w:bCs w:val="0"/>
          <w:color w:val="000000" w:themeColor="text1"/>
          <w:sz w:val="32"/>
          <w:szCs w:val="32"/>
          <w14:textFill>
            <w14:solidFill>
              <w14:schemeClr w14:val="tx1"/>
            </w14:solidFill>
          </w14:textFill>
        </w:rPr>
        <w:t>补贴</w:t>
      </w:r>
      <w:r>
        <w:rPr>
          <w:rFonts w:hint="eastAsia" w:ascii="黑体" w:hAnsi="黑体" w:eastAsia="黑体" w:cs="黑体"/>
          <w:b w:val="0"/>
          <w:bCs w:val="0"/>
          <w:color w:val="000000" w:themeColor="text1"/>
          <w:sz w:val="32"/>
          <w:szCs w:val="32"/>
          <w:lang w:val="en-US" w:eastAsia="zh-CN"/>
          <w14:textFill>
            <w14:solidFill>
              <w14:schemeClr w14:val="tx1"/>
            </w14:solidFill>
          </w14:textFill>
        </w:rPr>
        <w:t>资金分配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bCs/>
          <w:color w:val="000000" w:themeColor="text1"/>
          <w:sz w:val="32"/>
          <w:szCs w:val="32"/>
          <w:lang w:val="en-US" w:eastAsia="zh-CN"/>
          <w14:textFill>
            <w14:solidFill>
              <w14:schemeClr w14:val="tx1"/>
            </w14:solidFill>
          </w14:textFill>
        </w:rPr>
        <w:t>一</w:t>
      </w: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bCs/>
          <w:color w:val="000000" w:themeColor="text1"/>
          <w:sz w:val="32"/>
          <w:szCs w:val="32"/>
          <w14:textFill>
            <w14:solidFill>
              <w14:schemeClr w14:val="tx1"/>
            </w14:solidFill>
          </w14:textFill>
        </w:rPr>
        <w:t>补贴范围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本次补贴范围和对象为：除高速客运和旅游客运外，2024年度从事农村渡口渡船运输及普通客船运输，且持有交通运输部门颁发或认可的有效船舶运输凭证的岛际和农村水路客运船舶，以及县级人民政府批准设置的农村渡口航行的渡船（含拖驳渡船）的经营者或所有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bCs/>
          <w:color w:val="000000" w:themeColor="text1"/>
          <w:sz w:val="32"/>
          <w:szCs w:val="32"/>
          <w:lang w:val="en-US" w:eastAsia="zh-CN"/>
          <w14:textFill>
            <w14:solidFill>
              <w14:schemeClr w14:val="tx1"/>
            </w14:solidFill>
          </w14:textFill>
        </w:rPr>
        <w:t>二</w:t>
      </w:r>
      <w:r>
        <w:rPr>
          <w:rFonts w:hint="eastAsia" w:ascii="仿宋" w:hAnsi="仿宋" w:eastAsia="仿宋" w:cs="仿宋"/>
          <w:b/>
          <w:bCs/>
          <w:color w:val="000000" w:themeColor="text1"/>
          <w:sz w:val="32"/>
          <w:szCs w:val="32"/>
          <w:lang w:eastAsia="zh-CN"/>
          <w14:textFill>
            <w14:solidFill>
              <w14:schemeClr w14:val="tx1"/>
            </w14:solidFill>
          </w14:textFill>
        </w:rPr>
        <w:t>）补贴</w:t>
      </w:r>
      <w:r>
        <w:rPr>
          <w:rFonts w:hint="eastAsia" w:ascii="仿宋" w:hAnsi="仿宋" w:eastAsia="仿宋" w:cs="仿宋"/>
          <w:b/>
          <w:bCs/>
          <w:color w:val="000000" w:themeColor="text1"/>
          <w:sz w:val="32"/>
          <w:szCs w:val="32"/>
          <w:lang w:val="en-US" w:eastAsia="zh-CN"/>
          <w14:textFill>
            <w14:solidFill>
              <w14:schemeClr w14:val="tx1"/>
            </w14:solidFill>
          </w14:textFill>
        </w:rPr>
        <w:t>计算公式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根据我市当年向省</w:t>
      </w:r>
      <w:r>
        <w:rPr>
          <w:rFonts w:hint="eastAsia" w:ascii="仿宋" w:hAnsi="仿宋" w:eastAsia="仿宋" w:cs="仿宋"/>
          <w:color w:val="000000" w:themeColor="text1"/>
          <w:sz w:val="32"/>
          <w:szCs w:val="32"/>
          <w:lang w:eastAsia="zh-CN"/>
          <w14:textFill>
            <w14:solidFill>
              <w14:schemeClr w14:val="tx1"/>
            </w14:solidFill>
          </w14:textFill>
        </w:rPr>
        <w:t>港航</w:t>
      </w:r>
      <w:r>
        <w:rPr>
          <w:rFonts w:hint="eastAsia" w:ascii="仿宋" w:hAnsi="仿宋" w:eastAsia="仿宋" w:cs="仿宋"/>
          <w:color w:val="000000" w:themeColor="text1"/>
          <w:sz w:val="32"/>
          <w:szCs w:val="32"/>
          <w:lang w:val="en-US" w:eastAsia="zh-CN"/>
          <w14:textFill>
            <w14:solidFill>
              <w14:schemeClr w14:val="tx1"/>
            </w14:solidFill>
          </w14:textFill>
        </w:rPr>
        <w:t>管理局</w:t>
      </w:r>
      <w:r>
        <w:rPr>
          <w:rFonts w:hint="eastAsia" w:ascii="仿宋" w:hAnsi="仿宋" w:eastAsia="仿宋" w:cs="仿宋"/>
          <w:color w:val="000000" w:themeColor="text1"/>
          <w:sz w:val="32"/>
          <w:szCs w:val="32"/>
          <w14:textFill>
            <w14:solidFill>
              <w14:schemeClr w14:val="tx1"/>
            </w14:solidFill>
          </w14:textFill>
        </w:rPr>
        <w:t>申报“十三五”水路燃油补贴</w:t>
      </w:r>
      <w:r>
        <w:rPr>
          <w:rFonts w:hint="eastAsia" w:ascii="仿宋" w:hAnsi="仿宋" w:eastAsia="仿宋" w:cs="仿宋"/>
          <w:color w:val="000000" w:themeColor="text1"/>
          <w:sz w:val="32"/>
          <w:szCs w:val="32"/>
          <w:lang w:val="en-US"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《关于上报鄂州市2014年度岛际和农村水路客运补助用油量的报告》（鄂州港航海事﹝2015﹞8号）文件，当年共申报40艘船舶，</w:t>
      </w:r>
      <w:r>
        <w:rPr>
          <w:rFonts w:hint="eastAsia" w:ascii="仿宋" w:hAnsi="仿宋" w:eastAsia="仿宋" w:cs="仿宋"/>
          <w:color w:val="000000" w:themeColor="text1"/>
          <w:sz w:val="32"/>
          <w:szCs w:val="32"/>
          <w:lang w:val="en-US" w:eastAsia="zh-CN"/>
          <w14:textFill>
            <w14:solidFill>
              <w14:schemeClr w14:val="tx1"/>
            </w14:solidFill>
          </w14:textFill>
        </w:rPr>
        <w:t>总功率为</w:t>
      </w:r>
      <w:r>
        <w:rPr>
          <w:rFonts w:hint="eastAsia" w:ascii="仿宋" w:hAnsi="仿宋" w:eastAsia="仿宋" w:cs="仿宋"/>
          <w:color w:val="000000" w:themeColor="text1"/>
          <w:sz w:val="32"/>
          <w:szCs w:val="32"/>
          <w14:textFill>
            <w14:solidFill>
              <w14:schemeClr w14:val="tx1"/>
            </w14:solidFill>
          </w14:textFill>
        </w:rPr>
        <w:t>642.38千瓦。2016年，有4艘船舶重新检验后变更了功率，因此</w:t>
      </w:r>
      <w:r>
        <w:rPr>
          <w:rFonts w:hint="eastAsia" w:ascii="仿宋" w:hAnsi="仿宋" w:eastAsia="仿宋" w:cs="仿宋"/>
          <w:color w:val="000000" w:themeColor="text1"/>
          <w:sz w:val="32"/>
          <w:szCs w:val="32"/>
          <w:lang w:eastAsia="zh-CN"/>
          <w14:textFill>
            <w14:solidFill>
              <w14:schemeClr w14:val="tx1"/>
            </w14:solidFill>
          </w14:textFill>
        </w:rPr>
        <w:t>现</w:t>
      </w:r>
      <w:r>
        <w:rPr>
          <w:rFonts w:hint="eastAsia" w:ascii="仿宋" w:hAnsi="仿宋" w:eastAsia="仿宋" w:cs="仿宋"/>
          <w:color w:val="000000" w:themeColor="text1"/>
          <w:sz w:val="32"/>
          <w:szCs w:val="32"/>
          <w14:textFill>
            <w14:solidFill>
              <w14:schemeClr w14:val="tx1"/>
            </w14:solidFill>
          </w14:textFill>
        </w:rPr>
        <w:t>总功率为666.98千瓦（其中长江和梁子湖</w:t>
      </w:r>
      <w:r>
        <w:rPr>
          <w:rFonts w:hint="eastAsia" w:ascii="仿宋" w:hAnsi="仿宋" w:eastAsia="仿宋" w:cs="仿宋"/>
          <w:color w:val="000000" w:themeColor="text1"/>
          <w:sz w:val="32"/>
          <w:szCs w:val="32"/>
          <w:lang w:val="en-US" w:eastAsia="zh-CN"/>
          <w14:textFill>
            <w14:solidFill>
              <w14:schemeClr w14:val="tx1"/>
            </w14:solidFill>
          </w14:textFill>
        </w:rPr>
        <w:t>班轮</w:t>
      </w:r>
      <w:r>
        <w:rPr>
          <w:rFonts w:hint="eastAsia" w:ascii="仿宋" w:hAnsi="仿宋" w:eastAsia="仿宋" w:cs="仿宋"/>
          <w:color w:val="000000" w:themeColor="text1"/>
          <w:sz w:val="32"/>
          <w:szCs w:val="32"/>
          <w14:textFill>
            <w14:solidFill>
              <w14:schemeClr w14:val="tx1"/>
            </w14:solidFill>
          </w14:textFill>
        </w:rPr>
        <w:t>486.2千瓦，内河渡船180.78千瓦）</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strike w:val="0"/>
          <w:dstrike w:val="0"/>
          <w:color w:val="000000"/>
          <w:sz w:val="32"/>
          <w:szCs w:val="32"/>
          <w:lang w:val="en-US" w:eastAsia="zh-CN"/>
        </w:rPr>
        <w:t>此后每年以此为基数计算</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2025年水路客运补贴资金为36万元，鉴于</w:t>
      </w:r>
      <w:r>
        <w:rPr>
          <w:rFonts w:hint="eastAsia" w:ascii="仿宋" w:hAnsi="仿宋" w:eastAsia="仿宋" w:cs="仿宋"/>
          <w:color w:val="000000"/>
          <w:sz w:val="32"/>
          <w:szCs w:val="32"/>
          <w:lang w:val="en-US" w:eastAsia="zh-CN"/>
        </w:rPr>
        <w:t>内河渡口功率小、无收入或收入较少，且具有很强的公益性。其发放标准按照长江及梁子湖班轮客运的补贴发放标准大约</w:t>
      </w:r>
      <w:r>
        <w:rPr>
          <w:rFonts w:hint="eastAsia" w:ascii="仿宋" w:hAnsi="仿宋" w:eastAsia="仿宋" w:cs="仿宋"/>
          <w:color w:val="000000"/>
          <w:sz w:val="32"/>
          <w:szCs w:val="32"/>
        </w:rPr>
        <w:t>上浮35%</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计算</w:t>
      </w:r>
      <w:r>
        <w:rPr>
          <w:rFonts w:hint="eastAsia" w:ascii="仿宋" w:hAnsi="仿宋" w:eastAsia="仿宋" w:cs="仿宋"/>
          <w:color w:val="000000"/>
          <w:sz w:val="32"/>
          <w:szCs w:val="32"/>
          <w:lang w:val="en-US" w:eastAsia="zh-CN"/>
        </w:rPr>
        <w:t>得</w:t>
      </w:r>
      <w:r>
        <w:rPr>
          <w:rFonts w:hint="eastAsia" w:ascii="仿宋" w:hAnsi="仿宋" w:eastAsia="仿宋" w:cs="仿宋"/>
          <w:color w:val="000000"/>
          <w:sz w:val="32"/>
          <w:szCs w:val="32"/>
        </w:rPr>
        <w:t>出</w:t>
      </w:r>
      <w:r>
        <w:rPr>
          <w:rFonts w:hint="eastAsia" w:ascii="仿宋" w:hAnsi="仿宋" w:eastAsia="仿宋" w:cs="仿宋"/>
          <w:color w:val="000000"/>
          <w:sz w:val="32"/>
          <w:szCs w:val="32"/>
          <w:lang w:eastAsia="zh-CN"/>
        </w:rPr>
        <w:t>：</w:t>
      </w:r>
      <w:r>
        <w:rPr>
          <w:rFonts w:hint="eastAsia" w:ascii="仿宋" w:hAnsi="仿宋" w:eastAsia="仿宋" w:cs="仿宋"/>
          <w:color w:val="000000" w:themeColor="text1"/>
          <w:sz w:val="32"/>
          <w:szCs w:val="32"/>
          <w14:textFill>
            <w14:solidFill>
              <w14:schemeClr w14:val="tx1"/>
            </w14:solidFill>
          </w14:textFill>
        </w:rPr>
        <w:t>长江和梁子湖</w:t>
      </w:r>
      <w:r>
        <w:rPr>
          <w:rFonts w:hint="eastAsia" w:ascii="仿宋" w:hAnsi="仿宋" w:eastAsia="仿宋" w:cs="仿宋"/>
          <w:color w:val="000000" w:themeColor="text1"/>
          <w:sz w:val="32"/>
          <w:szCs w:val="32"/>
          <w:lang w:val="en-US" w:eastAsia="zh-CN"/>
          <w14:textFill>
            <w14:solidFill>
              <w14:schemeClr w14:val="tx1"/>
            </w14:solidFill>
          </w14:textFill>
        </w:rPr>
        <w:t>班轮</w:t>
      </w:r>
      <w:r>
        <w:rPr>
          <w:rFonts w:hint="eastAsia" w:ascii="仿宋" w:hAnsi="仿宋" w:eastAsia="仿宋" w:cs="仿宋"/>
          <w:color w:val="000000"/>
          <w:sz w:val="32"/>
          <w:szCs w:val="32"/>
        </w:rPr>
        <w:t>补贴标准</w:t>
      </w:r>
      <w:r>
        <w:rPr>
          <w:rFonts w:hint="eastAsia" w:ascii="仿宋" w:hAnsi="仿宋" w:eastAsia="仿宋" w:cs="仿宋"/>
          <w:color w:val="000000"/>
          <w:sz w:val="32"/>
          <w:szCs w:val="32"/>
          <w:lang w:val="en-US" w:eastAsia="zh-CN"/>
        </w:rPr>
        <w:t>36</w:t>
      </w:r>
      <w:r>
        <w:rPr>
          <w:rFonts w:hint="eastAsia" w:ascii="仿宋" w:hAnsi="仿宋" w:eastAsia="仿宋" w:cs="仿宋"/>
          <w:color w:val="000000"/>
          <w:sz w:val="32"/>
          <w:szCs w:val="32"/>
        </w:rPr>
        <w:t>0000/[486.2+（180.78*1.35）]为</w:t>
      </w:r>
      <w:r>
        <w:rPr>
          <w:rFonts w:hint="eastAsia" w:ascii="仿宋" w:hAnsi="仿宋" w:eastAsia="仿宋" w:cs="仿宋"/>
          <w:color w:val="000000"/>
          <w:sz w:val="32"/>
          <w:szCs w:val="32"/>
          <w:lang w:val="en-US" w:eastAsia="zh-CN"/>
        </w:rPr>
        <w:t>492.98</w:t>
      </w:r>
      <w:r>
        <w:rPr>
          <w:rFonts w:hint="eastAsia" w:ascii="仿宋" w:hAnsi="仿宋" w:eastAsia="仿宋" w:cs="仿宋"/>
          <w:color w:val="000000"/>
          <w:sz w:val="32"/>
          <w:szCs w:val="32"/>
        </w:rPr>
        <w:t>元/千瓦</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内河渡船补贴标准为在长江（梁子湖班轮）补贴标准基础上上浮35%，即</w:t>
      </w:r>
      <w:r>
        <w:rPr>
          <w:rFonts w:hint="eastAsia" w:ascii="仿宋" w:hAnsi="仿宋" w:eastAsia="仿宋" w:cs="仿宋"/>
          <w:color w:val="000000"/>
          <w:sz w:val="32"/>
          <w:szCs w:val="32"/>
          <w:lang w:val="en-US" w:eastAsia="zh-CN"/>
        </w:rPr>
        <w:t>665.52</w:t>
      </w:r>
      <w:r>
        <w:rPr>
          <w:rFonts w:hint="eastAsia" w:ascii="仿宋" w:hAnsi="仿宋" w:eastAsia="仿宋" w:cs="仿宋"/>
          <w:color w:val="000000"/>
          <w:sz w:val="32"/>
          <w:szCs w:val="32"/>
        </w:rPr>
        <w:t>元/千瓦。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color w:val="000000" w:themeColor="text1"/>
          <w:sz w:val="32"/>
          <w:szCs w:val="32"/>
          <w:lang w:val="en-US"/>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（三）分配补贴金额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全市已申报符合补助条件的船舶共4艘，总功率为221.2千瓦。具体分配明细：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1.鄂州市海江航运有限公司梁子湖班轮2艘，总功率178千瓦，补贴标准为492.98元/千瓦，分配补贴金额87750.44元。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2.个体经营者长江客渡船1艘，功率16.2千瓦，补贴标准为492.98元/千瓦，分配补贴金额7986.28元。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3.个体经营者梁子湖客渡船1艘，功率27千瓦，补贴标准为665.52元/千瓦，分配补贴金额17969.04元。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此次分配补贴金额共计113705.76元，未分配金额为246294.24元。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三、</w:t>
      </w:r>
      <w:r>
        <w:rPr>
          <w:rFonts w:hint="eastAsia" w:ascii="黑体" w:hAnsi="黑体" w:eastAsia="黑体" w:cs="黑体"/>
          <w:b w:val="0"/>
          <w:bCs w:val="0"/>
          <w:sz w:val="32"/>
          <w:szCs w:val="32"/>
          <w:lang w:val="en-US" w:eastAsia="zh-CN"/>
        </w:rPr>
        <w:t>“美丽乡村渡口”共同缔造资金分配</w:t>
      </w:r>
      <w:r>
        <w:rPr>
          <w:rFonts w:hint="eastAsia" w:ascii="黑体" w:hAnsi="黑体" w:eastAsia="黑体" w:cs="黑体"/>
          <w:b w:val="0"/>
          <w:bCs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2025年，我市计划用于“美丽乡村渡口”共同缔造实施项目总金额为131.655万元（具体包含2024年结转资金0.025万元，2025年水路客运经营者补贴款结余资金24.63万元，2025年“美丽乡村渡口”共同缔造资金107万元）。按照省、市“美丽乡村渡口”共同缔造实施方案文件要求，结合鄂城区和梁子湖区申报“美丽乡村渡口”共同缔造实施项目的申请，拟定用于“美丽乡村渡口”共同缔造实施项目补贴资金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（一）渡口提档升级项目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1.鄂城区东港渡口：建设费用最高补贴资金30.00万元，未达到30.00万元按工程结算审核报告实际费用补贴资金。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2.鄂城区柯营十一组渡口：建设费用最高补贴资金30.00万元，未达到30.00万元按工程结算审核报告实际费用补贴资金。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3.鄂城区柯营十二组渡口：建设费用最高补贴资金30.00万元，未达到30.00万元按工程结算审核报告实际费用补贴资金。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4.梁子湖区毛塘渡口：建设费用最高补贴资金31.65万元，未达到31.65万元按工程结算审核报告实际费用补贴资金。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（二）渡口渡船撤销拆除项目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5.鄂城区范墩二组渡口：撤销拆除费用最高补贴资金10.00万元，未达到10.00万元按工程结算审核报告实际费用补贴资金。</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pPr>
        <w:bidi w:val="0"/>
        <w:ind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附件：1.鄂州市2025年农村水路客运补贴资金分配表</w:t>
      </w:r>
    </w:p>
    <w:p>
      <w:pPr>
        <w:bidi w:val="0"/>
        <w:ind w:firstLine="1280" w:firstLineChars="400"/>
        <w:rPr>
          <w:rFonts w:hint="eastAsia" w:ascii="仿宋" w:hAnsi="仿宋" w:eastAsia="仿宋" w:cs="仿宋"/>
          <w:w w:val="96"/>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w w:val="96"/>
          <w:sz w:val="32"/>
          <w:szCs w:val="32"/>
          <w:lang w:val="en-US" w:eastAsia="zh-CN"/>
        </w:rPr>
        <w:t>“ 美丽乡村渡口 ”共同缔造项目补贴资金分配表</w:t>
      </w:r>
    </w:p>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鄂州市港航事业发展中心</w:t>
      </w:r>
    </w:p>
    <w:p>
      <w:pPr>
        <w:keepNext w:val="0"/>
        <w:keepLines w:val="0"/>
        <w:pageBreakBefore w:val="0"/>
        <w:widowControl w:val="0"/>
        <w:kinsoku/>
        <w:wordWrap/>
        <w:overflowPunct/>
        <w:topLinePunct w:val="0"/>
        <w:autoSpaceDE/>
        <w:autoSpaceDN/>
        <w:bidi w:val="0"/>
        <w:adjustRightInd/>
        <w:snapToGrid/>
        <w:spacing w:line="500" w:lineRule="exact"/>
        <w:ind w:firstLine="840" w:firstLineChars="300"/>
        <w:textAlignment w:val="auto"/>
        <w:rPr>
          <w:rFonts w:hint="default" w:ascii="仿宋" w:hAnsi="仿宋" w:eastAsia="仿宋" w:cs="仿宋"/>
          <w:color w:val="000000" w:themeColor="text1"/>
          <w:spacing w:val="-20"/>
          <w:sz w:val="32"/>
          <w:szCs w:val="32"/>
          <w:lang w:val="en-US" w:eastAsia="zh-CN"/>
          <w14:textFill>
            <w14:solidFill>
              <w14:schemeClr w14:val="tx1"/>
            </w14:solidFill>
          </w14:textFill>
        </w:rPr>
      </w:pPr>
      <w:r>
        <w:rPr>
          <w:rFonts w:hint="eastAsia" w:ascii="仿宋" w:hAnsi="仿宋" w:eastAsia="仿宋" w:cs="仿宋"/>
          <w:color w:val="000000" w:themeColor="text1"/>
          <w:spacing w:val="-20"/>
          <w:sz w:val="32"/>
          <w:szCs w:val="32"/>
          <w:lang w:val="en-US" w:eastAsia="zh-CN"/>
          <w14:textFill>
            <w14:solidFill>
              <w14:schemeClr w14:val="tx1"/>
            </w14:solidFill>
          </w14:textFill>
        </w:rPr>
        <w:t xml:space="preserve">                                </w:t>
      </w:r>
      <w:r>
        <w:rPr>
          <w:rFonts w:hint="eastAsia" w:ascii="仿宋" w:hAnsi="仿宋" w:eastAsia="仿宋" w:cs="仿宋"/>
          <w:color w:val="000000" w:themeColor="text1"/>
          <w:spacing w:val="0"/>
          <w:sz w:val="32"/>
          <w:szCs w:val="32"/>
          <w:lang w:val="en-US" w:eastAsia="zh-CN"/>
          <w14:textFill>
            <w14:solidFill>
              <w14:schemeClr w14:val="tx1"/>
            </w14:solidFill>
          </w14:textFill>
        </w:rPr>
        <w:t xml:space="preserve">  2025年6月26日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rPr>
          <w:rFonts w:hint="default" w:ascii="仿宋" w:hAnsi="仿宋" w:eastAsia="仿宋" w:cs="仿宋"/>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p/>
    <w:p/>
    <w:p/>
    <w:p/>
    <w:p/>
    <w:p/>
    <w:p/>
    <w:p/>
    <w:p/>
    <w:p/>
    <w:p/>
    <w:p/>
    <w:p/>
    <w:p/>
    <w:p/>
    <w:tbl>
      <w:tblPr>
        <w:tblStyle w:val="6"/>
        <w:tblW w:w="86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9"/>
        <w:gridCol w:w="1039"/>
        <w:gridCol w:w="2265"/>
        <w:gridCol w:w="1005"/>
        <w:gridCol w:w="1230"/>
        <w:gridCol w:w="1275"/>
        <w:gridCol w:w="11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4" w:hRule="atLeast"/>
          <w:jc w:val="center"/>
        </w:trPr>
        <w:tc>
          <w:tcPr>
            <w:tcW w:w="8680" w:type="dxa"/>
            <w:gridSpan w:val="7"/>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附件1</w:t>
            </w:r>
          </w:p>
          <w:p>
            <w:pPr>
              <w:keepNext w:val="0"/>
              <w:keepLines w:val="0"/>
              <w:widowControl/>
              <w:suppressLineNumbers w:val="0"/>
              <w:ind w:firstLine="1687" w:firstLineChars="600"/>
              <w:jc w:val="both"/>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鄂州市2025年农村水路客运补贴资金分配表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3"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船 名</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  营  人</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功率</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（千瓦）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补贴金额</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实发补贴金额</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鄂州客0038</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鄂州市海江航运有限公司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61622.50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61622.50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鄂州客0039</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鄂州市海江航运有限公司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26127.94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26127.94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9"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鄂州渡0006</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王四才（白浒镇）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7986.28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7986.28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9"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鄂州客渡0022</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朱兴舟（毛塘渡口 ）</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17969.04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17969.04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221.2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113705.76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113705.76 </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r>
    </w:tbl>
    <w:p>
      <w:pPr>
        <w:rPr>
          <w:rFonts w:hint="eastAsia" w:ascii="宋体" w:hAnsi="宋体" w:eastAsia="仿宋" w:cs="宋体"/>
          <w:color w:val="333333"/>
          <w:kern w:val="2"/>
          <w:sz w:val="32"/>
          <w:szCs w:val="24"/>
          <w:lang w:val="en-US" w:eastAsia="zh-CN" w:bidi="ar-SA"/>
        </w:rPr>
      </w:pPr>
    </w:p>
    <w:p>
      <w:pPr>
        <w:rPr>
          <w:rFonts w:hint="eastAsia" w:ascii="宋体" w:hAnsi="宋体" w:eastAsia="仿宋" w:cs="宋体"/>
          <w:color w:val="333333"/>
          <w:kern w:val="2"/>
          <w:sz w:val="32"/>
          <w:szCs w:val="24"/>
          <w:lang w:val="en-US" w:eastAsia="zh-CN" w:bidi="ar-SA"/>
        </w:rPr>
      </w:pPr>
    </w:p>
    <w:p>
      <w:pPr>
        <w:rPr>
          <w:rFonts w:hint="eastAsia" w:ascii="宋体" w:hAnsi="宋体" w:eastAsia="仿宋" w:cs="宋体"/>
          <w:color w:val="333333"/>
          <w:kern w:val="2"/>
          <w:sz w:val="32"/>
          <w:szCs w:val="24"/>
          <w:lang w:val="en-US" w:eastAsia="zh-CN" w:bidi="ar-SA"/>
        </w:rPr>
      </w:pPr>
    </w:p>
    <w:p>
      <w:pPr>
        <w:rPr>
          <w:rFonts w:hint="eastAsia" w:ascii="宋体" w:hAnsi="宋体" w:eastAsia="仿宋" w:cs="宋体"/>
          <w:color w:val="333333"/>
          <w:kern w:val="2"/>
          <w:sz w:val="32"/>
          <w:szCs w:val="24"/>
          <w:lang w:val="en-US" w:eastAsia="zh-CN" w:bidi="ar-SA"/>
        </w:rPr>
      </w:pPr>
    </w:p>
    <w:p>
      <w:pPr>
        <w:rPr>
          <w:rFonts w:hint="eastAsia" w:ascii="宋体" w:hAnsi="宋体" w:eastAsia="仿宋" w:cs="宋体"/>
          <w:color w:val="333333"/>
          <w:kern w:val="2"/>
          <w:sz w:val="32"/>
          <w:szCs w:val="24"/>
          <w:lang w:val="en-US" w:eastAsia="zh-CN" w:bidi="ar-SA"/>
        </w:rPr>
      </w:pPr>
    </w:p>
    <w:p>
      <w:pPr>
        <w:rPr>
          <w:rFonts w:hint="eastAsia" w:ascii="宋体" w:hAnsi="宋体" w:eastAsia="仿宋" w:cs="宋体"/>
          <w:color w:val="333333"/>
          <w:kern w:val="2"/>
          <w:sz w:val="32"/>
          <w:szCs w:val="24"/>
          <w:lang w:val="en-US" w:eastAsia="zh-CN" w:bidi="ar-SA"/>
        </w:rPr>
      </w:pPr>
    </w:p>
    <w:p>
      <w:pPr>
        <w:rPr>
          <w:rFonts w:hint="eastAsia" w:ascii="宋体" w:hAnsi="宋体" w:eastAsia="仿宋" w:cs="宋体"/>
          <w:color w:val="333333"/>
          <w:kern w:val="2"/>
          <w:sz w:val="32"/>
          <w:szCs w:val="24"/>
          <w:lang w:val="en-US" w:eastAsia="zh-CN" w:bidi="ar-SA"/>
        </w:rPr>
      </w:pPr>
    </w:p>
    <w:p>
      <w:pPr>
        <w:rPr>
          <w:rFonts w:hint="eastAsia" w:ascii="宋体" w:hAnsi="宋体" w:eastAsia="仿宋" w:cs="宋体"/>
          <w:color w:val="333333"/>
          <w:kern w:val="2"/>
          <w:sz w:val="32"/>
          <w:szCs w:val="24"/>
          <w:lang w:val="en-US" w:eastAsia="zh-CN" w:bidi="ar-SA"/>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rPr>
          <w:rFonts w:hint="eastAsia" w:ascii="宋体" w:hAnsi="宋体" w:eastAsia="仿宋" w:cs="宋体"/>
          <w:color w:val="333333"/>
          <w:kern w:val="2"/>
          <w:sz w:val="32"/>
          <w:szCs w:val="24"/>
          <w:lang w:val="en-US" w:eastAsia="zh-CN" w:bidi="ar-SA"/>
        </w:rPr>
      </w:pPr>
    </w:p>
    <w:tbl>
      <w:tblPr>
        <w:tblStyle w:val="6"/>
        <w:tblW w:w="138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6"/>
        <w:gridCol w:w="778"/>
        <w:gridCol w:w="1305"/>
        <w:gridCol w:w="1424"/>
        <w:gridCol w:w="1306"/>
        <w:gridCol w:w="1032"/>
        <w:gridCol w:w="1169"/>
        <w:gridCol w:w="1169"/>
        <w:gridCol w:w="1169"/>
        <w:gridCol w:w="1348"/>
        <w:gridCol w:w="1169"/>
        <w:gridCol w:w="1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2" w:hRule="atLeast"/>
        </w:trPr>
        <w:tc>
          <w:tcPr>
            <w:tcW w:w="13800" w:type="dxa"/>
            <w:gridSpan w:val="12"/>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黑体" w:hAnsi="宋体" w:eastAsia="宋体" w:cs="黑体"/>
                <w:b/>
                <w:bCs/>
                <w:i w:val="0"/>
                <w:iCs w:val="0"/>
                <w:color w:val="000000"/>
                <w:kern w:val="0"/>
                <w:sz w:val="30"/>
                <w:szCs w:val="44"/>
                <w:u w:val="none"/>
                <w:lang w:val="en-US" w:eastAsia="zh-CN" w:bidi="ar"/>
              </w:rPr>
            </w:pPr>
            <w:r>
              <w:rPr>
                <w:rFonts w:hint="eastAsia" w:ascii="黑体" w:hAnsi="宋体" w:eastAsia="宋体" w:cs="黑体"/>
                <w:b/>
                <w:bCs/>
                <w:i w:val="0"/>
                <w:iCs w:val="0"/>
                <w:color w:val="000000"/>
                <w:kern w:val="0"/>
                <w:sz w:val="30"/>
                <w:szCs w:val="44"/>
                <w:u w:val="none"/>
                <w:lang w:val="en-US" w:eastAsia="zh-CN" w:bidi="ar"/>
              </w:rPr>
              <w:t>附件2</w:t>
            </w:r>
          </w:p>
          <w:p>
            <w:pPr>
              <w:keepNext w:val="0"/>
              <w:keepLines w:val="0"/>
              <w:widowControl/>
              <w:suppressLineNumbers w:val="0"/>
              <w:ind w:firstLine="301" w:firstLineChars="100"/>
              <w:jc w:val="center"/>
              <w:textAlignment w:val="center"/>
              <w:rPr>
                <w:rFonts w:ascii="黑体" w:hAnsi="宋体" w:eastAsia="宋体" w:cs="黑体"/>
                <w:b/>
                <w:bCs/>
                <w:i w:val="0"/>
                <w:iCs w:val="0"/>
                <w:color w:val="000000"/>
                <w:sz w:val="30"/>
                <w:szCs w:val="44"/>
                <w:u w:val="none"/>
              </w:rPr>
            </w:pPr>
            <w:r>
              <w:rPr>
                <w:rFonts w:hint="eastAsia" w:ascii="黑体" w:hAnsi="宋体" w:eastAsia="宋体" w:cs="黑体"/>
                <w:b/>
                <w:bCs/>
                <w:i w:val="0"/>
                <w:iCs w:val="0"/>
                <w:color w:val="000000"/>
                <w:kern w:val="0"/>
                <w:sz w:val="30"/>
                <w:szCs w:val="44"/>
                <w:u w:val="none"/>
                <w:lang w:val="en-US" w:eastAsia="zh-CN" w:bidi="ar"/>
              </w:rPr>
              <w:t>“ 美丽乡村渡口 ”共同缔造项目补贴资金分配表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7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77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市州</w:t>
            </w:r>
          </w:p>
        </w:tc>
        <w:tc>
          <w:tcPr>
            <w:tcW w:w="1305"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县（市、区）</w:t>
            </w:r>
          </w:p>
        </w:tc>
        <w:tc>
          <w:tcPr>
            <w:tcW w:w="1424"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渡口名称</w:t>
            </w:r>
          </w:p>
        </w:tc>
        <w:tc>
          <w:tcPr>
            <w:tcW w:w="1306"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渡口运营人</w:t>
            </w:r>
          </w:p>
        </w:tc>
        <w:tc>
          <w:tcPr>
            <w:tcW w:w="1032"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渡运</w:t>
            </w:r>
          </w:p>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水域</w:t>
            </w:r>
          </w:p>
        </w:tc>
        <w:tc>
          <w:tcPr>
            <w:tcW w:w="11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渡口等级</w:t>
            </w:r>
          </w:p>
        </w:tc>
        <w:tc>
          <w:tcPr>
            <w:tcW w:w="11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渡口类别</w:t>
            </w:r>
          </w:p>
        </w:tc>
        <w:tc>
          <w:tcPr>
            <w:tcW w:w="11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项目类型</w:t>
            </w:r>
          </w:p>
        </w:tc>
        <w:tc>
          <w:tcPr>
            <w:tcW w:w="134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预计投资资金（万元）</w:t>
            </w:r>
          </w:p>
        </w:tc>
        <w:tc>
          <w:tcPr>
            <w:tcW w:w="11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计划开始实施时间</w:t>
            </w:r>
          </w:p>
        </w:tc>
        <w:tc>
          <w:tcPr>
            <w:tcW w:w="118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778"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鄂州</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鄂城区</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东港渡口</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东港村</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长港河</w:t>
            </w:r>
          </w:p>
        </w:tc>
        <w:tc>
          <w:tcPr>
            <w:tcW w:w="11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四类</w:t>
            </w:r>
          </w:p>
        </w:tc>
        <w:tc>
          <w:tcPr>
            <w:tcW w:w="116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客渡</w:t>
            </w:r>
          </w:p>
        </w:tc>
        <w:tc>
          <w:tcPr>
            <w:tcW w:w="116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提档升级</w:t>
            </w:r>
          </w:p>
        </w:tc>
        <w:tc>
          <w:tcPr>
            <w:tcW w:w="13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c>
          <w:tcPr>
            <w:tcW w:w="116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2025</w:t>
            </w:r>
          </w:p>
        </w:tc>
        <w:tc>
          <w:tcPr>
            <w:tcW w:w="118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7" w:hRule="atLeast"/>
        </w:trPr>
        <w:tc>
          <w:tcPr>
            <w:tcW w:w="7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c>
          <w:tcPr>
            <w:tcW w:w="778"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鄂州</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鄂城区</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柯营十一组渡口</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柯营村</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长港河</w:t>
            </w:r>
          </w:p>
        </w:tc>
        <w:tc>
          <w:tcPr>
            <w:tcW w:w="11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四类</w:t>
            </w:r>
          </w:p>
        </w:tc>
        <w:tc>
          <w:tcPr>
            <w:tcW w:w="116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客渡</w:t>
            </w:r>
          </w:p>
        </w:tc>
        <w:tc>
          <w:tcPr>
            <w:tcW w:w="1169"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提档升级</w:t>
            </w:r>
          </w:p>
        </w:tc>
        <w:tc>
          <w:tcPr>
            <w:tcW w:w="13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c>
          <w:tcPr>
            <w:tcW w:w="116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2025</w:t>
            </w:r>
          </w:p>
        </w:tc>
        <w:tc>
          <w:tcPr>
            <w:tcW w:w="1185" w:type="dxa"/>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2" w:hRule="atLeast"/>
        </w:trPr>
        <w:tc>
          <w:tcPr>
            <w:tcW w:w="7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p>
        </w:tc>
        <w:tc>
          <w:tcPr>
            <w:tcW w:w="778"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鄂州</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鄂城区</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柯营十二组渡口</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柯营村</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长港河</w:t>
            </w:r>
          </w:p>
        </w:tc>
        <w:tc>
          <w:tcPr>
            <w:tcW w:w="11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四类</w:t>
            </w:r>
          </w:p>
        </w:tc>
        <w:tc>
          <w:tcPr>
            <w:tcW w:w="116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客渡</w:t>
            </w:r>
          </w:p>
        </w:tc>
        <w:tc>
          <w:tcPr>
            <w:tcW w:w="1169"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提档升级</w:t>
            </w:r>
          </w:p>
        </w:tc>
        <w:tc>
          <w:tcPr>
            <w:tcW w:w="13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c>
          <w:tcPr>
            <w:tcW w:w="116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2025</w:t>
            </w:r>
          </w:p>
        </w:tc>
        <w:tc>
          <w:tcPr>
            <w:tcW w:w="1185" w:type="dxa"/>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7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w:t>
            </w:r>
          </w:p>
        </w:tc>
        <w:tc>
          <w:tcPr>
            <w:tcW w:w="7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鄂州</w:t>
            </w:r>
          </w:p>
        </w:tc>
        <w:tc>
          <w:tcPr>
            <w:tcW w:w="13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梁子湖区</w:t>
            </w:r>
          </w:p>
        </w:tc>
        <w:tc>
          <w:tcPr>
            <w:tcW w:w="14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毛塘渡口</w:t>
            </w:r>
          </w:p>
        </w:tc>
        <w:tc>
          <w:tcPr>
            <w:tcW w:w="13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毛塘村</w:t>
            </w:r>
          </w:p>
        </w:tc>
        <w:tc>
          <w:tcPr>
            <w:tcW w:w="10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梁子湖</w:t>
            </w:r>
          </w:p>
        </w:tc>
        <w:tc>
          <w:tcPr>
            <w:tcW w:w="116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四类</w:t>
            </w:r>
          </w:p>
        </w:tc>
        <w:tc>
          <w:tcPr>
            <w:tcW w:w="116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客渡</w:t>
            </w:r>
          </w:p>
        </w:tc>
        <w:tc>
          <w:tcPr>
            <w:tcW w:w="116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rPr>
            </w:pPr>
            <w:r>
              <w:rPr>
                <w:rFonts w:hint="eastAsia"/>
                <w:lang w:val="en-US" w:eastAsia="zh-CN"/>
              </w:rPr>
              <w:t>提档升级</w:t>
            </w:r>
          </w:p>
        </w:tc>
        <w:tc>
          <w:tcPr>
            <w:tcW w:w="13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31.654367</w:t>
            </w:r>
          </w:p>
        </w:tc>
        <w:tc>
          <w:tcPr>
            <w:tcW w:w="116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2025</w:t>
            </w:r>
          </w:p>
        </w:tc>
        <w:tc>
          <w:tcPr>
            <w:tcW w:w="118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7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7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鄂州</w:t>
            </w:r>
          </w:p>
        </w:tc>
        <w:tc>
          <w:tcPr>
            <w:tcW w:w="13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鄂城区</w:t>
            </w:r>
          </w:p>
        </w:tc>
        <w:tc>
          <w:tcPr>
            <w:tcW w:w="14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范墩二组渡口</w:t>
            </w:r>
          </w:p>
        </w:tc>
        <w:tc>
          <w:tcPr>
            <w:tcW w:w="13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范墩村</w:t>
            </w:r>
          </w:p>
        </w:tc>
        <w:tc>
          <w:tcPr>
            <w:tcW w:w="10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长港河</w:t>
            </w:r>
          </w:p>
        </w:tc>
        <w:tc>
          <w:tcPr>
            <w:tcW w:w="116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四类</w:t>
            </w:r>
          </w:p>
        </w:tc>
        <w:tc>
          <w:tcPr>
            <w:tcW w:w="116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客渡</w:t>
            </w:r>
          </w:p>
        </w:tc>
        <w:tc>
          <w:tcPr>
            <w:tcW w:w="116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撤销拆除</w:t>
            </w:r>
          </w:p>
        </w:tc>
        <w:tc>
          <w:tcPr>
            <w:tcW w:w="13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16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2025</w:t>
            </w:r>
          </w:p>
        </w:tc>
        <w:tc>
          <w:tcPr>
            <w:tcW w:w="1185"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jc w:val="both"/>
        <w:rPr>
          <w:rFonts w:hint="eastAsia" w:ascii="宋体" w:hAnsi="宋体" w:eastAsia="仿宋" w:cs="宋体"/>
          <w:color w:val="333333"/>
          <w:kern w:val="2"/>
          <w:sz w:val="32"/>
          <w:szCs w:val="24"/>
          <w:lang w:val="en-US" w:eastAsia="zh-CN" w:bidi="ar-SA"/>
        </w:rPr>
      </w:pPr>
    </w:p>
    <w:sectPr>
      <w:pgSz w:w="16838" w:h="11906" w:orient="landscape"/>
      <w:pgMar w:top="1803" w:right="1440" w:bottom="1803" w:left="1440" w:header="851" w:footer="992" w:gutter="0"/>
      <w:pgBorders>
        <w:top w:val="none" w:sz="0" w:space="0"/>
        <w:left w:val="none" w:sz="0" w:space="0"/>
        <w:bottom w:val="none" w:sz="0" w:space="0"/>
        <w:right w:val="none" w:sz="0" w:space="0"/>
      </w:pgBorders>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lYTlmOTIxMzJjNWFhZDc2Mjg0ZDc2NWRkMDljZGEifQ=="/>
  </w:docVars>
  <w:rsids>
    <w:rsidRoot w:val="717223D7"/>
    <w:rsid w:val="018C4070"/>
    <w:rsid w:val="03D70B20"/>
    <w:rsid w:val="044400B4"/>
    <w:rsid w:val="04BC02DB"/>
    <w:rsid w:val="0A831DD6"/>
    <w:rsid w:val="0B6C1211"/>
    <w:rsid w:val="0F015217"/>
    <w:rsid w:val="11AE034E"/>
    <w:rsid w:val="17233640"/>
    <w:rsid w:val="1FBC6066"/>
    <w:rsid w:val="23222015"/>
    <w:rsid w:val="24EA7027"/>
    <w:rsid w:val="2A7179E8"/>
    <w:rsid w:val="34EA6564"/>
    <w:rsid w:val="3A75006B"/>
    <w:rsid w:val="44C00242"/>
    <w:rsid w:val="4BF55CB2"/>
    <w:rsid w:val="56DA55CC"/>
    <w:rsid w:val="57A71A44"/>
    <w:rsid w:val="5ACC12DE"/>
    <w:rsid w:val="5D0B1EEF"/>
    <w:rsid w:val="62D4754D"/>
    <w:rsid w:val="68D57089"/>
    <w:rsid w:val="70BF74C3"/>
    <w:rsid w:val="717223D7"/>
    <w:rsid w:val="71CE6B9D"/>
    <w:rsid w:val="75BF3AC1"/>
    <w:rsid w:val="761861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2149</Words>
  <Characters>2576</Characters>
  <Lines>0</Lines>
  <Paragraphs>0</Paragraphs>
  <TotalTime>2</TotalTime>
  <ScaleCrop>false</ScaleCrop>
  <LinksUpToDate>false</LinksUpToDate>
  <CharactersWithSpaces>2673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2025-06-26T00:42:00Z</dcterms:created>
  <dc:creator>Xh</dc:creator>
  <cp:lastModifiedBy>Administrator</cp:lastModifiedBy>
  <cp:lastPrinted>2025-06-26T02:56:00Z</cp:lastPrinted>
  <dcterms:modified xsi:type="dcterms:W3CDTF">2025-06-26T07:47:40Z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D226A9FB98D34FD2B87D9F1F10E6A71C_13</vt:lpwstr>
  </property>
  <property fmtid="{D5CDD505-2E9C-101B-9397-08002B2CF9AE}" pid="4" name="KSOTemplateDocerSaveRecord">
    <vt:lpwstr>eyJoZGlkIjoiZjI0ZTU4MjJkNTdlYjNmMzg5NmVjMGFiNTMwOGUyYWUiLCJ1c2VySWQiOiI5MzQ2MzA0NDcifQ==</vt:lpwstr>
  </property>
</Properties>
</file>